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2" w:type="dxa"/>
        <w:tblLook w:val="01E0"/>
      </w:tblPr>
      <w:tblGrid>
        <w:gridCol w:w="5000"/>
        <w:gridCol w:w="4928"/>
      </w:tblGrid>
      <w:tr w:rsidR="00D0728D" w:rsidRPr="00A52580" w:rsidTr="00A168E7">
        <w:tc>
          <w:tcPr>
            <w:tcW w:w="5000" w:type="dxa"/>
          </w:tcPr>
          <w:p w:rsidR="00D0728D" w:rsidRPr="00A52580" w:rsidRDefault="00D0728D" w:rsidP="00A52580">
            <w:pPr>
              <w:widowControl w:val="0"/>
              <w:shd w:val="clear" w:color="auto" w:fill="FFFFFF"/>
              <w:tabs>
                <w:tab w:val="left" w:pos="5755"/>
              </w:tabs>
              <w:autoSpaceDE w:val="0"/>
              <w:autoSpaceDN w:val="0"/>
              <w:adjustRightInd w:val="0"/>
              <w:spacing w:line="240" w:lineRule="auto"/>
              <w:jc w:val="both"/>
              <w:rPr>
                <w:rFonts w:ascii="Times New Roman" w:hAnsi="Times New Roman"/>
                <w:spacing w:val="-4"/>
                <w:sz w:val="24"/>
                <w:szCs w:val="24"/>
              </w:rPr>
            </w:pPr>
            <w:r w:rsidRPr="00A52580">
              <w:rPr>
                <w:rFonts w:ascii="Times New Roman" w:hAnsi="Times New Roman"/>
                <w:spacing w:val="-4"/>
                <w:sz w:val="24"/>
                <w:szCs w:val="24"/>
              </w:rPr>
              <w:t>Принято</w:t>
            </w:r>
          </w:p>
          <w:p w:rsidR="00D0728D" w:rsidRPr="00A52580" w:rsidRDefault="00C302BA" w:rsidP="00A52580">
            <w:pPr>
              <w:widowControl w:val="0"/>
              <w:shd w:val="clear" w:color="auto" w:fill="FFFFFF"/>
              <w:tabs>
                <w:tab w:val="left" w:pos="5760"/>
              </w:tabs>
              <w:autoSpaceDE w:val="0"/>
              <w:autoSpaceDN w:val="0"/>
              <w:adjustRightInd w:val="0"/>
              <w:spacing w:line="240" w:lineRule="auto"/>
              <w:jc w:val="both"/>
              <w:rPr>
                <w:rFonts w:ascii="Times New Roman" w:hAnsi="Times New Roman"/>
                <w:spacing w:val="-16"/>
                <w:sz w:val="24"/>
                <w:szCs w:val="24"/>
              </w:rPr>
            </w:pPr>
            <w:r>
              <w:rPr>
                <w:rFonts w:ascii="Times New Roman" w:hAnsi="Times New Roman"/>
                <w:spacing w:val="-4"/>
                <w:sz w:val="24"/>
                <w:szCs w:val="24"/>
              </w:rPr>
              <w:t>Педагогическим Советом</w:t>
            </w:r>
            <w:r w:rsidR="00D0728D" w:rsidRPr="00A52580">
              <w:rPr>
                <w:rFonts w:ascii="Times New Roman" w:hAnsi="Times New Roman"/>
                <w:spacing w:val="-4"/>
                <w:sz w:val="24"/>
                <w:szCs w:val="24"/>
              </w:rPr>
              <w:t xml:space="preserve"> АПОУ РА «ТОТ»</w:t>
            </w:r>
            <w:r w:rsidR="00D0728D" w:rsidRPr="00A52580">
              <w:rPr>
                <w:rFonts w:ascii="Times New Roman" w:hAnsi="Times New Roman"/>
                <w:sz w:val="24"/>
                <w:szCs w:val="24"/>
              </w:rPr>
              <w:tab/>
              <w:t xml:space="preserve">                                                       </w:t>
            </w:r>
          </w:p>
          <w:p w:rsidR="00D0728D" w:rsidRPr="00A52580" w:rsidRDefault="00D0728D" w:rsidP="00A52580">
            <w:pPr>
              <w:widowControl w:val="0"/>
              <w:shd w:val="clear" w:color="auto" w:fill="FFFFFF"/>
              <w:tabs>
                <w:tab w:val="left" w:pos="5760"/>
              </w:tabs>
              <w:autoSpaceDE w:val="0"/>
              <w:autoSpaceDN w:val="0"/>
              <w:adjustRightInd w:val="0"/>
              <w:spacing w:line="240" w:lineRule="auto"/>
              <w:jc w:val="both"/>
              <w:rPr>
                <w:rFonts w:ascii="Times New Roman" w:hAnsi="Times New Roman"/>
                <w:sz w:val="24"/>
                <w:szCs w:val="24"/>
              </w:rPr>
            </w:pPr>
            <w:r w:rsidRPr="00A52580">
              <w:rPr>
                <w:rFonts w:ascii="Times New Roman" w:hAnsi="Times New Roman"/>
                <w:sz w:val="24"/>
                <w:szCs w:val="24"/>
              </w:rPr>
              <w:t>Протокол заседания №</w:t>
            </w:r>
            <w:r w:rsidR="00C302BA">
              <w:rPr>
                <w:rFonts w:ascii="Times New Roman" w:hAnsi="Times New Roman"/>
                <w:sz w:val="24"/>
                <w:szCs w:val="24"/>
              </w:rPr>
              <w:t xml:space="preserve"> 4</w:t>
            </w:r>
            <w:r w:rsidRPr="00A52580">
              <w:rPr>
                <w:rFonts w:ascii="Times New Roman" w:hAnsi="Times New Roman"/>
                <w:sz w:val="24"/>
                <w:szCs w:val="24"/>
              </w:rPr>
              <w:t xml:space="preserve"> от </w:t>
            </w:r>
            <w:r w:rsidR="00C302BA">
              <w:rPr>
                <w:rFonts w:ascii="Times New Roman" w:hAnsi="Times New Roman"/>
                <w:sz w:val="24"/>
                <w:szCs w:val="24"/>
              </w:rPr>
              <w:t>12.10.2020 г</w:t>
            </w:r>
            <w:r w:rsidRPr="00A52580">
              <w:rPr>
                <w:rFonts w:ascii="Times New Roman" w:hAnsi="Times New Roman"/>
                <w:sz w:val="24"/>
                <w:szCs w:val="24"/>
              </w:rPr>
              <w:t>.</w:t>
            </w:r>
          </w:p>
          <w:p w:rsidR="00D0728D" w:rsidRPr="00A52580" w:rsidRDefault="00D0728D" w:rsidP="00A52580">
            <w:pPr>
              <w:widowControl w:val="0"/>
              <w:tabs>
                <w:tab w:val="left" w:pos="5755"/>
              </w:tabs>
              <w:autoSpaceDE w:val="0"/>
              <w:autoSpaceDN w:val="0"/>
              <w:adjustRightInd w:val="0"/>
              <w:spacing w:line="240" w:lineRule="auto"/>
              <w:jc w:val="both"/>
              <w:rPr>
                <w:rFonts w:ascii="Times New Roman" w:hAnsi="Times New Roman"/>
                <w:spacing w:val="-4"/>
                <w:sz w:val="24"/>
                <w:szCs w:val="24"/>
              </w:rPr>
            </w:pPr>
          </w:p>
        </w:tc>
        <w:tc>
          <w:tcPr>
            <w:tcW w:w="4928" w:type="dxa"/>
          </w:tcPr>
          <w:p w:rsidR="00D0728D" w:rsidRPr="00A52580" w:rsidRDefault="00D0728D" w:rsidP="00A52580">
            <w:pPr>
              <w:widowControl w:val="0"/>
              <w:tabs>
                <w:tab w:val="left" w:pos="5755"/>
              </w:tabs>
              <w:autoSpaceDE w:val="0"/>
              <w:autoSpaceDN w:val="0"/>
              <w:adjustRightInd w:val="0"/>
              <w:spacing w:line="240" w:lineRule="auto"/>
              <w:jc w:val="both"/>
              <w:rPr>
                <w:rFonts w:ascii="Times New Roman" w:hAnsi="Times New Roman"/>
                <w:spacing w:val="-4"/>
                <w:sz w:val="24"/>
                <w:szCs w:val="24"/>
              </w:rPr>
            </w:pPr>
            <w:r w:rsidRPr="00A52580">
              <w:rPr>
                <w:rFonts w:ascii="Times New Roman" w:hAnsi="Times New Roman"/>
                <w:spacing w:val="-4"/>
                <w:sz w:val="24"/>
                <w:szCs w:val="24"/>
              </w:rPr>
              <w:t xml:space="preserve">                                      </w:t>
            </w:r>
            <w:r>
              <w:rPr>
                <w:rFonts w:ascii="Times New Roman" w:hAnsi="Times New Roman"/>
                <w:spacing w:val="-4"/>
                <w:sz w:val="24"/>
                <w:szCs w:val="24"/>
              </w:rPr>
              <w:t xml:space="preserve">  </w:t>
            </w:r>
            <w:r w:rsidRPr="00A52580">
              <w:rPr>
                <w:rFonts w:ascii="Times New Roman" w:hAnsi="Times New Roman"/>
                <w:spacing w:val="-4"/>
                <w:sz w:val="24"/>
                <w:szCs w:val="24"/>
              </w:rPr>
              <w:t xml:space="preserve">Утверждено </w:t>
            </w:r>
          </w:p>
          <w:p w:rsidR="00D0728D" w:rsidRPr="00A52580" w:rsidRDefault="00D0728D" w:rsidP="00A52580">
            <w:pPr>
              <w:widowControl w:val="0"/>
              <w:tabs>
                <w:tab w:val="left" w:pos="5755"/>
              </w:tabs>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 xml:space="preserve">                                         </w:t>
            </w:r>
            <w:r w:rsidRPr="00A52580">
              <w:rPr>
                <w:rFonts w:ascii="Times New Roman" w:hAnsi="Times New Roman"/>
                <w:spacing w:val="-4"/>
                <w:sz w:val="24"/>
                <w:szCs w:val="24"/>
              </w:rPr>
              <w:t xml:space="preserve">Приказ директора </w:t>
            </w:r>
          </w:p>
          <w:p w:rsidR="00D0728D" w:rsidRPr="00A52580" w:rsidRDefault="00D0728D" w:rsidP="00C302BA">
            <w:pPr>
              <w:widowControl w:val="0"/>
              <w:tabs>
                <w:tab w:val="left" w:pos="5755"/>
              </w:tabs>
              <w:autoSpaceDE w:val="0"/>
              <w:autoSpaceDN w:val="0"/>
              <w:adjustRightInd w:val="0"/>
              <w:spacing w:line="240" w:lineRule="auto"/>
              <w:jc w:val="both"/>
              <w:rPr>
                <w:rFonts w:ascii="Times New Roman" w:hAnsi="Times New Roman"/>
                <w:spacing w:val="-4"/>
                <w:sz w:val="24"/>
                <w:szCs w:val="24"/>
              </w:rPr>
            </w:pPr>
            <w:r>
              <w:rPr>
                <w:rFonts w:ascii="Times New Roman" w:hAnsi="Times New Roman"/>
                <w:spacing w:val="-4"/>
                <w:sz w:val="24"/>
                <w:szCs w:val="24"/>
              </w:rPr>
              <w:t xml:space="preserve">                                         </w:t>
            </w:r>
            <w:r w:rsidRPr="00A52580">
              <w:rPr>
                <w:rFonts w:ascii="Times New Roman" w:hAnsi="Times New Roman"/>
                <w:spacing w:val="-4"/>
                <w:sz w:val="24"/>
                <w:szCs w:val="24"/>
              </w:rPr>
              <w:t>№</w:t>
            </w:r>
            <w:r w:rsidR="00C302BA">
              <w:rPr>
                <w:rFonts w:ascii="Times New Roman" w:hAnsi="Times New Roman"/>
                <w:spacing w:val="-4"/>
                <w:sz w:val="24"/>
                <w:szCs w:val="24"/>
              </w:rPr>
              <w:t xml:space="preserve"> 74 от 3</w:t>
            </w:r>
            <w:r w:rsidRPr="00A52580">
              <w:rPr>
                <w:rFonts w:ascii="Times New Roman" w:hAnsi="Times New Roman"/>
                <w:spacing w:val="-4"/>
                <w:sz w:val="24"/>
                <w:szCs w:val="24"/>
              </w:rPr>
              <w:t>0.1</w:t>
            </w:r>
            <w:r w:rsidR="00C302BA">
              <w:rPr>
                <w:rFonts w:ascii="Times New Roman" w:hAnsi="Times New Roman"/>
                <w:spacing w:val="-4"/>
                <w:sz w:val="24"/>
                <w:szCs w:val="24"/>
              </w:rPr>
              <w:t>0</w:t>
            </w:r>
            <w:r w:rsidRPr="00A52580">
              <w:rPr>
                <w:rFonts w:ascii="Times New Roman" w:hAnsi="Times New Roman"/>
                <w:spacing w:val="-4"/>
                <w:sz w:val="24"/>
                <w:szCs w:val="24"/>
              </w:rPr>
              <w:t>.20</w:t>
            </w:r>
            <w:r w:rsidR="00C302BA">
              <w:rPr>
                <w:rFonts w:ascii="Times New Roman" w:hAnsi="Times New Roman"/>
                <w:spacing w:val="-4"/>
                <w:sz w:val="24"/>
                <w:szCs w:val="24"/>
              </w:rPr>
              <w:t>20 г.</w:t>
            </w:r>
          </w:p>
        </w:tc>
      </w:tr>
    </w:tbl>
    <w:p w:rsidR="00D0728D" w:rsidRPr="00A52580" w:rsidRDefault="00D0728D" w:rsidP="00A52580">
      <w:pPr>
        <w:shd w:val="clear" w:color="auto" w:fill="FFFFFF"/>
        <w:spacing w:before="1277" w:line="240" w:lineRule="auto"/>
        <w:jc w:val="center"/>
        <w:rPr>
          <w:rFonts w:ascii="Times New Roman" w:hAnsi="Times New Roman"/>
          <w:sz w:val="24"/>
          <w:szCs w:val="24"/>
        </w:rPr>
      </w:pPr>
      <w:r w:rsidRPr="00A52580">
        <w:rPr>
          <w:rFonts w:ascii="Times New Roman" w:hAnsi="Times New Roman"/>
          <w:sz w:val="24"/>
          <w:szCs w:val="24"/>
        </w:rPr>
        <w:t>ЛОКАЛЬНЫЙ АКТ № 11</w:t>
      </w:r>
    </w:p>
    <w:p w:rsidR="00D0728D" w:rsidRDefault="00D0728D" w:rsidP="00A52580">
      <w:pPr>
        <w:shd w:val="clear" w:color="auto" w:fill="FFFFFF"/>
        <w:spacing w:before="1277" w:line="240" w:lineRule="auto"/>
        <w:jc w:val="center"/>
        <w:rPr>
          <w:rFonts w:ascii="Times New Roman" w:hAnsi="Times New Roman"/>
          <w:sz w:val="24"/>
          <w:szCs w:val="24"/>
        </w:rPr>
      </w:pPr>
    </w:p>
    <w:p w:rsidR="00D0728D" w:rsidRPr="00A52580" w:rsidRDefault="00D0728D" w:rsidP="00A52580">
      <w:pPr>
        <w:shd w:val="clear" w:color="auto" w:fill="FFFFFF"/>
        <w:spacing w:before="1277" w:line="240" w:lineRule="auto"/>
        <w:jc w:val="center"/>
        <w:rPr>
          <w:rFonts w:ascii="Times New Roman" w:hAnsi="Times New Roman"/>
          <w:sz w:val="24"/>
          <w:szCs w:val="24"/>
        </w:rPr>
      </w:pPr>
      <w:r>
        <w:rPr>
          <w:rFonts w:ascii="Times New Roman" w:hAnsi="Times New Roman"/>
          <w:sz w:val="24"/>
          <w:szCs w:val="24"/>
        </w:rPr>
        <w:t>П</w:t>
      </w:r>
      <w:r w:rsidRPr="00A52580">
        <w:rPr>
          <w:rFonts w:ascii="Times New Roman" w:hAnsi="Times New Roman"/>
          <w:sz w:val="24"/>
          <w:szCs w:val="24"/>
        </w:rPr>
        <w:t>ОЛОЖЕНИЕ</w:t>
      </w:r>
    </w:p>
    <w:p w:rsidR="00D0728D" w:rsidRDefault="00D0728D" w:rsidP="00A52580">
      <w:pPr>
        <w:spacing w:line="240" w:lineRule="auto"/>
        <w:ind w:right="-144"/>
        <w:jc w:val="center"/>
        <w:rPr>
          <w:rFonts w:ascii="Times New Roman" w:hAnsi="Times New Roman"/>
          <w:sz w:val="24"/>
          <w:szCs w:val="24"/>
        </w:rPr>
      </w:pPr>
      <w:r w:rsidRPr="00A52580">
        <w:rPr>
          <w:rFonts w:ascii="Times New Roman" w:hAnsi="Times New Roman"/>
          <w:sz w:val="24"/>
          <w:szCs w:val="24"/>
        </w:rPr>
        <w:t xml:space="preserve">О текущем контроле, аттестации, переводе на следующий курс </w:t>
      </w:r>
    </w:p>
    <w:p w:rsidR="00D0728D" w:rsidRPr="00A52580" w:rsidRDefault="00D0728D" w:rsidP="00A52580">
      <w:pPr>
        <w:spacing w:line="240" w:lineRule="auto"/>
        <w:ind w:right="-144"/>
        <w:jc w:val="center"/>
        <w:rPr>
          <w:rFonts w:ascii="Times New Roman" w:hAnsi="Times New Roman"/>
          <w:b/>
          <w:sz w:val="24"/>
          <w:szCs w:val="24"/>
        </w:rPr>
      </w:pPr>
      <w:r w:rsidRPr="00A52580">
        <w:rPr>
          <w:rFonts w:ascii="Times New Roman" w:hAnsi="Times New Roman"/>
          <w:sz w:val="24"/>
          <w:szCs w:val="24"/>
        </w:rPr>
        <w:t>обучающихся  АПОУ РА «ТОТ»</w:t>
      </w:r>
    </w:p>
    <w:p w:rsidR="00D0728D" w:rsidRDefault="00D0728D" w:rsidP="007A3745">
      <w:pPr>
        <w:jc w:val="both"/>
        <w:rPr>
          <w:sz w:val="28"/>
          <w:szCs w:val="28"/>
        </w:rPr>
      </w:pPr>
    </w:p>
    <w:p w:rsidR="00D0728D" w:rsidRDefault="00D0728D" w:rsidP="007A3745">
      <w:pPr>
        <w:jc w:val="both"/>
        <w:rPr>
          <w:sz w:val="28"/>
          <w:szCs w:val="28"/>
        </w:rPr>
      </w:pPr>
    </w:p>
    <w:p w:rsidR="00D0728D" w:rsidRPr="007A3745" w:rsidRDefault="00D0728D" w:rsidP="007A3745">
      <w:pPr>
        <w:jc w:val="both"/>
        <w:rPr>
          <w:rFonts w:ascii="Times New Roman" w:hAnsi="Times New Roman"/>
          <w:sz w:val="28"/>
          <w:szCs w:val="28"/>
        </w:rPr>
      </w:pPr>
    </w:p>
    <w:p w:rsidR="00D0728D" w:rsidRPr="007A3745" w:rsidRDefault="00D0728D" w:rsidP="007A3745">
      <w:pPr>
        <w:jc w:val="both"/>
        <w:rPr>
          <w:rFonts w:ascii="Times New Roman" w:hAnsi="Times New Roman"/>
          <w:sz w:val="24"/>
          <w:szCs w:val="24"/>
        </w:rPr>
      </w:pPr>
      <w:r w:rsidRPr="007A3745">
        <w:rPr>
          <w:rFonts w:ascii="Times New Roman" w:hAnsi="Times New Roman"/>
          <w:sz w:val="24"/>
          <w:szCs w:val="24"/>
        </w:rPr>
        <w:t>Согласовано с Советом обучающихся Протокол</w:t>
      </w:r>
      <w:r w:rsidR="00C302BA">
        <w:rPr>
          <w:rFonts w:ascii="Times New Roman" w:hAnsi="Times New Roman"/>
          <w:sz w:val="24"/>
          <w:szCs w:val="24"/>
        </w:rPr>
        <w:t xml:space="preserve"> </w:t>
      </w:r>
      <w:r w:rsidRPr="007A3745">
        <w:rPr>
          <w:rFonts w:ascii="Times New Roman" w:hAnsi="Times New Roman"/>
          <w:sz w:val="24"/>
          <w:szCs w:val="24"/>
        </w:rPr>
        <w:t>№</w:t>
      </w:r>
      <w:r w:rsidR="00C302BA">
        <w:rPr>
          <w:rFonts w:ascii="Times New Roman" w:hAnsi="Times New Roman"/>
          <w:sz w:val="24"/>
          <w:szCs w:val="24"/>
        </w:rPr>
        <w:t xml:space="preserve"> 2 15.10</w:t>
      </w:r>
      <w:r w:rsidRPr="007A3745">
        <w:rPr>
          <w:rFonts w:ascii="Times New Roman" w:hAnsi="Times New Roman"/>
          <w:sz w:val="24"/>
          <w:szCs w:val="24"/>
        </w:rPr>
        <w:t>.20</w:t>
      </w:r>
      <w:r w:rsidR="00C302BA">
        <w:rPr>
          <w:rFonts w:ascii="Times New Roman" w:hAnsi="Times New Roman"/>
          <w:sz w:val="24"/>
          <w:szCs w:val="24"/>
        </w:rPr>
        <w:t>20</w:t>
      </w:r>
      <w:r w:rsidRPr="007A3745">
        <w:rPr>
          <w:rFonts w:ascii="Times New Roman" w:hAnsi="Times New Roman"/>
          <w:sz w:val="24"/>
          <w:szCs w:val="24"/>
        </w:rPr>
        <w:t xml:space="preserve"> года </w:t>
      </w:r>
    </w:p>
    <w:p w:rsidR="00D0728D" w:rsidRPr="007A3745" w:rsidRDefault="00D0728D" w:rsidP="007A3745">
      <w:pPr>
        <w:jc w:val="both"/>
        <w:rPr>
          <w:rFonts w:ascii="Times New Roman" w:hAnsi="Times New Roman"/>
          <w:sz w:val="24"/>
          <w:szCs w:val="24"/>
        </w:rPr>
      </w:pPr>
      <w:r w:rsidRPr="007A3745">
        <w:rPr>
          <w:rFonts w:ascii="Times New Roman" w:hAnsi="Times New Roman"/>
          <w:sz w:val="24"/>
          <w:szCs w:val="24"/>
        </w:rPr>
        <w:t>Согласовано с Родительским комитетом Протокол</w:t>
      </w:r>
      <w:r w:rsidR="00C302BA">
        <w:rPr>
          <w:rFonts w:ascii="Times New Roman" w:hAnsi="Times New Roman"/>
          <w:sz w:val="24"/>
          <w:szCs w:val="24"/>
        </w:rPr>
        <w:t xml:space="preserve"> </w:t>
      </w:r>
      <w:r w:rsidRPr="007A3745">
        <w:rPr>
          <w:rFonts w:ascii="Times New Roman" w:hAnsi="Times New Roman"/>
          <w:sz w:val="24"/>
          <w:szCs w:val="24"/>
        </w:rPr>
        <w:t>№</w:t>
      </w:r>
      <w:r w:rsidR="0096126D">
        <w:rPr>
          <w:rFonts w:ascii="Times New Roman" w:hAnsi="Times New Roman"/>
          <w:sz w:val="24"/>
          <w:szCs w:val="24"/>
        </w:rPr>
        <w:t xml:space="preserve"> 1 15.</w:t>
      </w:r>
      <w:r w:rsidR="00EF371C">
        <w:rPr>
          <w:rFonts w:ascii="Times New Roman" w:hAnsi="Times New Roman"/>
          <w:sz w:val="24"/>
          <w:szCs w:val="24"/>
        </w:rPr>
        <w:t>1</w:t>
      </w:r>
      <w:r w:rsidR="00C302BA">
        <w:rPr>
          <w:rFonts w:ascii="Times New Roman" w:hAnsi="Times New Roman"/>
          <w:sz w:val="24"/>
          <w:szCs w:val="24"/>
        </w:rPr>
        <w:t>0.20</w:t>
      </w:r>
      <w:r w:rsidR="00EF371C">
        <w:rPr>
          <w:rFonts w:ascii="Times New Roman" w:hAnsi="Times New Roman"/>
          <w:sz w:val="24"/>
          <w:szCs w:val="24"/>
        </w:rPr>
        <w:t>2</w:t>
      </w:r>
      <w:r w:rsidR="00C302BA">
        <w:rPr>
          <w:rFonts w:ascii="Times New Roman" w:hAnsi="Times New Roman"/>
          <w:sz w:val="24"/>
          <w:szCs w:val="24"/>
        </w:rPr>
        <w:t>0</w:t>
      </w:r>
      <w:r w:rsidRPr="007A3745">
        <w:rPr>
          <w:rFonts w:ascii="Times New Roman" w:hAnsi="Times New Roman"/>
          <w:sz w:val="24"/>
          <w:szCs w:val="24"/>
        </w:rPr>
        <w:t xml:space="preserve"> года</w:t>
      </w:r>
    </w:p>
    <w:p w:rsidR="00D0728D" w:rsidRDefault="00D0728D" w:rsidP="007A3745">
      <w:pPr>
        <w:jc w:val="both"/>
        <w:rPr>
          <w:rFonts w:ascii="Times New Roman" w:hAnsi="Times New Roman"/>
          <w:sz w:val="24"/>
          <w:szCs w:val="24"/>
        </w:rPr>
      </w:pPr>
    </w:p>
    <w:p w:rsidR="00D0728D" w:rsidRDefault="00D0728D" w:rsidP="007A3745">
      <w:pPr>
        <w:shd w:val="clear" w:color="auto" w:fill="FFFFFF"/>
        <w:spacing w:before="960" w:line="240" w:lineRule="auto"/>
        <w:jc w:val="center"/>
        <w:rPr>
          <w:rFonts w:ascii="Times New Roman" w:hAnsi="Times New Roman"/>
          <w:sz w:val="24"/>
          <w:szCs w:val="24"/>
        </w:rPr>
      </w:pPr>
    </w:p>
    <w:p w:rsidR="00D0728D" w:rsidRDefault="00D0728D" w:rsidP="007A3745">
      <w:pPr>
        <w:shd w:val="clear" w:color="auto" w:fill="FFFFFF"/>
        <w:spacing w:before="960" w:line="240" w:lineRule="auto"/>
        <w:jc w:val="center"/>
        <w:rPr>
          <w:rFonts w:ascii="Times New Roman" w:hAnsi="Times New Roman"/>
          <w:sz w:val="24"/>
          <w:szCs w:val="24"/>
        </w:rPr>
      </w:pPr>
      <w:r>
        <w:rPr>
          <w:rFonts w:ascii="Times New Roman" w:hAnsi="Times New Roman"/>
          <w:sz w:val="24"/>
          <w:szCs w:val="24"/>
        </w:rPr>
        <w:t>с</w:t>
      </w:r>
      <w:r w:rsidRPr="00A52580">
        <w:rPr>
          <w:rFonts w:ascii="Times New Roman" w:hAnsi="Times New Roman"/>
          <w:sz w:val="24"/>
          <w:szCs w:val="24"/>
        </w:rPr>
        <w:t>. Усть- Кокса</w:t>
      </w:r>
    </w:p>
    <w:p w:rsidR="00D0728D" w:rsidRPr="007A3745" w:rsidRDefault="00C302BA" w:rsidP="00A52580">
      <w:pPr>
        <w:spacing w:line="240" w:lineRule="auto"/>
        <w:ind w:right="-144"/>
        <w:jc w:val="center"/>
        <w:rPr>
          <w:rFonts w:ascii="Times New Roman" w:hAnsi="Times New Roman"/>
          <w:sz w:val="24"/>
          <w:szCs w:val="24"/>
        </w:rPr>
      </w:pPr>
      <w:r>
        <w:rPr>
          <w:rFonts w:ascii="Times New Roman" w:hAnsi="Times New Roman"/>
          <w:sz w:val="24"/>
          <w:szCs w:val="24"/>
        </w:rPr>
        <w:t xml:space="preserve">2020 </w:t>
      </w:r>
      <w:r w:rsidR="00D0728D" w:rsidRPr="007A3745">
        <w:rPr>
          <w:rFonts w:ascii="Times New Roman" w:hAnsi="Times New Roman"/>
          <w:sz w:val="24"/>
          <w:szCs w:val="24"/>
        </w:rPr>
        <w:t>г.</w:t>
      </w:r>
    </w:p>
    <w:p w:rsidR="00D0728D" w:rsidRDefault="00D0728D" w:rsidP="001E22C0">
      <w:pPr>
        <w:ind w:right="-144"/>
        <w:jc w:val="center"/>
        <w:rPr>
          <w:rFonts w:ascii="Times New Roman" w:hAnsi="Times New Roman"/>
          <w:sz w:val="24"/>
          <w:szCs w:val="24"/>
        </w:rPr>
      </w:pPr>
    </w:p>
    <w:p w:rsidR="00D0728D" w:rsidRPr="00A52580" w:rsidRDefault="00D0728D" w:rsidP="001E22C0">
      <w:pPr>
        <w:ind w:right="-144"/>
        <w:jc w:val="center"/>
        <w:rPr>
          <w:rFonts w:ascii="Times New Roman" w:hAnsi="Times New Roman"/>
          <w:sz w:val="24"/>
          <w:szCs w:val="24"/>
        </w:rPr>
      </w:pPr>
      <w:r w:rsidRPr="00A52580">
        <w:rPr>
          <w:rFonts w:ascii="Times New Roman" w:hAnsi="Times New Roman"/>
          <w:sz w:val="24"/>
          <w:szCs w:val="24"/>
        </w:rPr>
        <w:lastRenderedPageBreak/>
        <w:t>1. Общие положения.</w:t>
      </w:r>
    </w:p>
    <w:p w:rsidR="00D0728D" w:rsidRPr="00A52580" w:rsidRDefault="00D0728D" w:rsidP="00074A92">
      <w:pPr>
        <w:shd w:val="clear" w:color="auto" w:fill="FFFFFF"/>
        <w:spacing w:before="288"/>
        <w:ind w:left="14" w:right="-144" w:firstLine="553"/>
        <w:jc w:val="both"/>
        <w:rPr>
          <w:rFonts w:ascii="Times New Roman" w:hAnsi="Times New Roman"/>
          <w:sz w:val="24"/>
          <w:szCs w:val="24"/>
        </w:rPr>
      </w:pPr>
      <w:r w:rsidRPr="00A52580">
        <w:rPr>
          <w:rFonts w:ascii="Times New Roman" w:hAnsi="Times New Roman"/>
          <w:sz w:val="24"/>
          <w:szCs w:val="24"/>
        </w:rPr>
        <w:t xml:space="preserve"> Настоящее Положение регламентирует порядок, содержание текущего контроля успеваемости, промежуточной аттестации и перевод на следующий курс обучающихся автономного профессионального образовательного учреждения Республики Алтай «Усть-Коксинский техникум отраслевых технологий (далее Техникум), по программам подготовки специалистов среднего звена (далее ППССЗ) и программам подготовки квалифицированных рабочих (служащих) (далее ППКРС).</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1.1. Положение разработано на основании</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Закона Российской Федерации «Об образовании в Российской Федерации» от  29.12.2012  г. № 273 ФЗ;</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Министерства  образования и  науки РФ от 14.06.2013г. № 464);</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xml:space="preserve">- устава Техникума. </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1.2. Система текущего контроля успеваемости и промежуточной аттестации обучающихся предусматривает решение следующих задач:</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оценка качества освоения обучающимися основной профессиональной образовательной программы СПО;</w:t>
      </w:r>
    </w:p>
    <w:p w:rsidR="00D0728D" w:rsidRPr="00A52580" w:rsidRDefault="00D0728D" w:rsidP="00074A92">
      <w:pPr>
        <w:ind w:right="-144"/>
        <w:jc w:val="both"/>
        <w:rPr>
          <w:rFonts w:ascii="Times New Roman" w:hAnsi="Times New Roman"/>
          <w:sz w:val="24"/>
          <w:szCs w:val="24"/>
        </w:rPr>
      </w:pPr>
      <w:r>
        <w:rPr>
          <w:rFonts w:ascii="Times New Roman" w:hAnsi="Times New Roman"/>
          <w:sz w:val="24"/>
          <w:szCs w:val="24"/>
        </w:rPr>
        <w:t xml:space="preserve">- </w:t>
      </w:r>
      <w:r w:rsidRPr="00A52580">
        <w:rPr>
          <w:rFonts w:ascii="Times New Roman" w:hAnsi="Times New Roman"/>
          <w:sz w:val="24"/>
          <w:szCs w:val="24"/>
        </w:rPr>
        <w:t>аттестация обучающихся на соответствие их персональных достижений поэтапным требованиям соответствующей основной профессиональной образовательной программы СПО;</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организация самостоятельной работы обучающихся с учетом  их индивидуальных способностей;</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xml:space="preserve">- поддержание постоянной обратной связи и принятие оптимальных решений в управлении качеством </w:t>
      </w:r>
      <w:r>
        <w:rPr>
          <w:rFonts w:ascii="Times New Roman" w:hAnsi="Times New Roman"/>
          <w:sz w:val="24"/>
          <w:szCs w:val="24"/>
        </w:rPr>
        <w:t xml:space="preserve">обучения </w:t>
      </w:r>
      <w:r w:rsidRPr="00A52580">
        <w:rPr>
          <w:rFonts w:ascii="Times New Roman" w:hAnsi="Times New Roman"/>
          <w:sz w:val="24"/>
          <w:szCs w:val="24"/>
        </w:rPr>
        <w:t>обучающихся на уровне преподавателя, методического объединения и Техникума.</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1.3. Текущий контроль успеваемости и промежуточная аттестация является основным механизмом оценки качества подготовки обучающихся (согласно требованиям ФГОС) и формой контроля учебной работы обучающихся.</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1.4. Оценка качества подготовки обучающихся осуществляется в двух основных направлениях: оценка уровня освоения дисциплин и оценка компетенций обучающихся. Предметом оценивания являются знания, умения, общие и профессиональные компетенции обучающихся Техникума.</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1.5. Промежуточная аттестация обучающихся проводится по учебным дисциплинам, профессиональным модулям в сроки, предусмотренные учебными планами и календарными графиками Техникума.</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xml:space="preserve">1.6. Конкретные формы, периодичность и  порядок проведения текущего контроля успеваемости, промежуточной аттестации по каждой учебной дисциплине и профессиональному модулю </w:t>
      </w:r>
      <w:r w:rsidRPr="00A52580">
        <w:rPr>
          <w:rFonts w:ascii="Times New Roman" w:hAnsi="Times New Roman"/>
          <w:sz w:val="24"/>
          <w:szCs w:val="24"/>
        </w:rPr>
        <w:lastRenderedPageBreak/>
        <w:t>определяются Техникумом самостоятельно и доводятся до сведения обучающихся в течение первых двух месяцев от начала обучения.</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1.7. Для аттестации обучающихся на соответствие их персональных достижений поэтапным требованиям программы (текущая и промежуточная аттестация) создаются комплекты контрольно-оценочных средств, позволяющие оценить знания, умения и освоенные общие и профессиональные компетенции.</w:t>
      </w:r>
    </w:p>
    <w:p w:rsidR="00D0728D" w:rsidRPr="00A52580" w:rsidRDefault="00D0728D" w:rsidP="001E22C0">
      <w:pPr>
        <w:ind w:right="-144"/>
        <w:jc w:val="center"/>
        <w:rPr>
          <w:rFonts w:ascii="Times New Roman" w:hAnsi="Times New Roman"/>
          <w:sz w:val="24"/>
          <w:szCs w:val="24"/>
        </w:rPr>
      </w:pPr>
      <w:r w:rsidRPr="00A52580">
        <w:rPr>
          <w:rFonts w:ascii="Times New Roman" w:hAnsi="Times New Roman"/>
          <w:sz w:val="24"/>
          <w:szCs w:val="24"/>
        </w:rPr>
        <w:t>2. Текущий контроль успеваемости обучающихся  по ППКРС и ППССЗ.</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2.1. Текущий контроль успеваемости проводится преподавателем на любом из видов учебных занятий. Методы текущего контроля выбираются преподавателем и мастером производственного обучения, исходя из специфики учебной дисциплины, профессионального модуля.</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2.2. Текущий контроль успеваемости может иметь следующие виды:</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устный опрос на лекциях, практических и семинарских занятиях;</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проверка выполнения письменных домашних заданий;</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проверка выполнения письменных заданий, практических и расчетно-графических работ;</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защита лабораторных работ;</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административные контрольные работы (административные срезы);</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контрольные работы;</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тестирование;</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контроль самостоятельной работы (в письменной или устной форме).</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Возможны и другие виды текущего  контроля успеваемости, которые определяются преподавателями, мастерами производственного обучения и учебной частью Техникума.</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2.3. Виды и сроки проведения текущего контроля  успеваемости обучающихся устанавливаются рабочей программой дисциплины, профессионального модуля.</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2.4. В начале учебного года или семестра преподаватель проводит входной контроль знаний обучающихся, приобретённых на предшествующем этапе обучения.</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2.5. Результаты успеваемости каждого обучающегося и группы в целом предоставляются в учебную часть по полугодиям.</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2.6. Данные текущего контроля успеваемости должны использоваться для обеспечения эффективной учебной работы обучающихся,  свое</w:t>
      </w:r>
      <w:r>
        <w:rPr>
          <w:rFonts w:ascii="Times New Roman" w:hAnsi="Times New Roman"/>
          <w:sz w:val="24"/>
          <w:szCs w:val="24"/>
        </w:rPr>
        <w:t xml:space="preserve">временного выявления отстающих </w:t>
      </w:r>
      <w:r w:rsidRPr="00A52580">
        <w:rPr>
          <w:rFonts w:ascii="Times New Roman" w:hAnsi="Times New Roman"/>
          <w:sz w:val="24"/>
          <w:szCs w:val="24"/>
        </w:rPr>
        <w:t>и оказания им содействия в изучении учебного материала, совершенствования методики преподавания учебных дисциплин и профессиональных модулей.</w:t>
      </w:r>
    </w:p>
    <w:p w:rsidR="00C302BA" w:rsidRDefault="00C302BA" w:rsidP="00C302BA">
      <w:pPr>
        <w:ind w:right="-144"/>
        <w:jc w:val="center"/>
        <w:rPr>
          <w:rFonts w:ascii="Times New Roman" w:hAnsi="Times New Roman"/>
          <w:sz w:val="24"/>
          <w:szCs w:val="24"/>
        </w:rPr>
      </w:pPr>
      <w:r>
        <w:rPr>
          <w:rFonts w:ascii="Times New Roman" w:hAnsi="Times New Roman"/>
          <w:sz w:val="24"/>
          <w:szCs w:val="24"/>
        </w:rPr>
        <w:t>3. Промежуточная аттестация обучающихся Техникума.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3.1. Освоение образовательной программы, в том числе отдельной части или всего объема учебной дисциплины, профессионального модуля, курса, образовательной программы </w:t>
      </w:r>
      <w:r>
        <w:rPr>
          <w:rFonts w:ascii="Times New Roman" w:hAnsi="Times New Roman"/>
          <w:sz w:val="24"/>
          <w:szCs w:val="24"/>
        </w:rPr>
        <w:lastRenderedPageBreak/>
        <w:t xml:space="preserve">сопровождается промежуточной аттестацией обучающихся, проводимой в  формах, определенных учебным планом, и  в порядке, установленном настоящим положением.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3.2. Неудовлетворительные результаты промежуточной аттестации по одному или нескольким учебным дисциплинам, профессиональным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3.3. Обучающиеся обязаны ликвидировать академическую задолженность в установленные сроки.</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3.4. Не допускается взимание платы с обучающихся за прохождение промежуточной аттестации.</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3.5. Промежуточная аттестация  оценивает результаты учебной деятельности обучающихся.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 Основными формами промежуточной аттестации являются контрольная  работа, зачет, дифференцированный зачет, экзамен, квалификационный экзамен. Промежуточная аттестация может проводиться в форме демонстрационного экзамена.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3.6. Формы, периодичность промежуточной аттестации определяется учебными планами и календарными  графиками  учебного  процесса.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3.7. К промежуточной аттестации по учебным дисциплинам, профессиональным модулям допускаются успевающие обучающиеся.</w:t>
      </w:r>
    </w:p>
    <w:p w:rsidR="00C302BA" w:rsidRDefault="00C302BA" w:rsidP="00C302BA">
      <w:pPr>
        <w:spacing w:after="0"/>
        <w:jc w:val="both"/>
        <w:rPr>
          <w:rFonts w:ascii="Times New Roman" w:hAnsi="Times New Roman"/>
          <w:sz w:val="24"/>
          <w:szCs w:val="24"/>
        </w:rPr>
      </w:pPr>
      <w:r>
        <w:rPr>
          <w:rFonts w:ascii="Times New Roman" w:hAnsi="Times New Roman"/>
          <w:sz w:val="24"/>
          <w:szCs w:val="24"/>
        </w:rPr>
        <w:t>3.7.1. Обучающиеся, имеющие неудовлетворительные оценки не более чем по двум учебным дисциплинам или профессиональным модулям, выносимым на промежуточную аттестацию, проходят аттестацию по этим дисциплинам в сроки, установленные на заседании педагогического Совета.</w:t>
      </w:r>
    </w:p>
    <w:p w:rsidR="00C302BA" w:rsidRDefault="00C302BA" w:rsidP="00C302BA">
      <w:pPr>
        <w:spacing w:after="0"/>
        <w:jc w:val="both"/>
        <w:rPr>
          <w:rFonts w:ascii="Times New Roman" w:hAnsi="Times New Roman"/>
          <w:sz w:val="24"/>
          <w:szCs w:val="24"/>
        </w:rPr>
      </w:pPr>
      <w:r>
        <w:rPr>
          <w:rFonts w:ascii="Times New Roman" w:hAnsi="Times New Roman"/>
          <w:sz w:val="24"/>
          <w:szCs w:val="24"/>
        </w:rPr>
        <w:t>3.7.2. Обучающиеся, имеющие неудовлетворительные оценки или не аттестованные по дисциплинам теоретического обучения, по которым не проводятся экзамены, допускаются к экзаменационной сессии, получая индивидуальные задания, и сдают зачеты в сроки, установленные на заседании педагогического Совета.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3.8. Условием допуска к квалификационному экзамену по профессиональному модулю является успешное освоение обучающимися всех элементов программы профессионального модуля: теоретической части модуля (междисциплинарный курс) и практик.</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3.9. Учебные дисциплины и профессиональные модули, в т.ч. введенные за счет часов вариативной части, являются обязательными для аттестации. Их освоение должно завершаться одной из возможных форм промежуточной аттестации.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3.9.1. Промежуточная аттестация по составным элементам программы профессионального модуля: по междисциплинарным курсам – дифференцированный зачет, экзамен или демонстрационный экзамен, по учебной и производственной практике – дифференцированный зачет проводится при соблюдении ограничений на количество экзаменов и зачетов в учебном году. Не проводится промежуточная аттестация, если объем обязательной аудиторной нагрузки по  составным  элементам  профессионального модуля, междисциплинарного курса или учебной и производственной практике  составляет менее 32 часов. </w:t>
      </w:r>
    </w:p>
    <w:p w:rsidR="00C302BA" w:rsidRDefault="00C302BA" w:rsidP="00C302BA">
      <w:pPr>
        <w:ind w:right="-144"/>
        <w:jc w:val="both"/>
        <w:rPr>
          <w:rFonts w:ascii="Times New Roman" w:hAnsi="Times New Roman"/>
          <w:sz w:val="24"/>
          <w:szCs w:val="24"/>
        </w:rPr>
      </w:pPr>
      <w:r>
        <w:rPr>
          <w:rFonts w:ascii="Times New Roman" w:hAnsi="Times New Roman"/>
          <w:sz w:val="24"/>
          <w:szCs w:val="24"/>
        </w:rPr>
        <w:lastRenderedPageBreak/>
        <w:t xml:space="preserve">Если модуль содержит несколько междисциплинарных курсов - возможно проведение комбинированного экзамена или дифференцированного зачета (решение принимается на заседании </w:t>
      </w:r>
      <w:r w:rsidR="00406158">
        <w:rPr>
          <w:rFonts w:ascii="Times New Roman" w:hAnsi="Times New Roman"/>
          <w:sz w:val="24"/>
          <w:szCs w:val="24"/>
        </w:rPr>
        <w:t>цикловой методической комиссии</w:t>
      </w:r>
      <w:r>
        <w:rPr>
          <w:rFonts w:ascii="Times New Roman" w:hAnsi="Times New Roman"/>
          <w:sz w:val="24"/>
          <w:szCs w:val="24"/>
        </w:rPr>
        <w:t>).</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3.9.2. Промежуточная аттестация обучающихся по профессиональному модулю осуществляется в форме экзамена (квалификационного, демонстрационного) за счет времени, отведенного на промежуточную аттестацию, в соответствии с учебным планом учебного плана. В ходе квалификационного экзамена проверяется готовность обучающихся к выполнению определенного вида профессиональной деятельности посредством оценивания их общих и профессиональных компетенций, определенных в разделе «Требования к результатам освоения ОПОП» ФГОС и формируемых в ходе освоения междисциплинарных курсов, учебной и производственной практик в составе профессионального модуля.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3.9.3. Оценивание качества освоения учебных дисциплин общеобразовательного цикла в процессе промежуточной аттестации включает в себя обязательные экзамены по русскому языку,  математике и одной из профильных дисциплин общеобразовательного цикла, который определен учебным планом. По русскому языку и математике экзамены проводятся в письменной форме, по профильной дисциплине – в устной.</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3.9.4. Формой промежуточной аттестации по физической культуре являются зачеты, которые  проводятся каждый семестр (полугодие) и не учитываются при подсчете допустимого количества зачетов в учебном году, завершает освоение программы по физической культуре дифференцированный зачет.</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3.10. Количество экзаменов в каждом учебном году в процессе промежуточной аттестации не должно превышать 8, а количество зачетов – 10, без учета зачетов по физической культуре.</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3.11. Промежуточная аттестация в форме экзамена проводится в день, освобожденный от других  форм учебной нагрузки. 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3.12. На промежуточную аттестацию в форме экзаменов отводится не более 1 недели (36 часов) в семестр (согласно учебного плана), если в семестре не предусмотрена промежуточная аттестация в форме экзамена, то данная неделя переносится на  следующий  семестр. Если учебные дисциплины и профессиональные модули изучаются концентрировано, промежуточная аттестация проводится непосредственно после  завершения  их освоения. При  рассредоточенном изучении учебных дисциплин и профессиональных модулей группируются 2 экзамена в рамках одной календарной недели, при этом  предусматривается не менее 2 дней между ними. Это время  может быть  использовано на самостоятельную подготовку к экзаменам или на проведение консультаций.</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3.13. Подготовка и проведение зачета или дифференцированного зачета по учебной дисциплине или междисциплинарному курсу.</w:t>
      </w:r>
    </w:p>
    <w:p w:rsidR="00406158" w:rsidRDefault="00C302BA" w:rsidP="00C302BA">
      <w:pPr>
        <w:ind w:right="-144"/>
        <w:jc w:val="both"/>
        <w:rPr>
          <w:rFonts w:ascii="Times New Roman" w:hAnsi="Times New Roman"/>
          <w:sz w:val="24"/>
          <w:szCs w:val="24"/>
        </w:rPr>
      </w:pPr>
      <w:r>
        <w:rPr>
          <w:rFonts w:ascii="Times New Roman" w:hAnsi="Times New Roman"/>
          <w:sz w:val="24"/>
          <w:szCs w:val="24"/>
        </w:rPr>
        <w:t xml:space="preserve">3.13.1. Условия, процедура подготовки и проведения зачета или дифференцированного зачета разрабатываются  преподавателем в Комплекте контрольно-оценочных средств по учебной дисциплине, междисциплинарному курсу, профессиональному модулю. </w:t>
      </w:r>
    </w:p>
    <w:p w:rsidR="00C302BA" w:rsidRDefault="00C302BA" w:rsidP="00C302BA">
      <w:pPr>
        <w:ind w:right="-144"/>
        <w:jc w:val="both"/>
        <w:rPr>
          <w:rFonts w:ascii="Times New Roman" w:hAnsi="Times New Roman"/>
          <w:sz w:val="24"/>
          <w:szCs w:val="24"/>
        </w:rPr>
      </w:pPr>
      <w:r>
        <w:rPr>
          <w:rFonts w:ascii="Times New Roman" w:hAnsi="Times New Roman"/>
          <w:sz w:val="24"/>
          <w:szCs w:val="24"/>
        </w:rPr>
        <w:lastRenderedPageBreak/>
        <w:t>3.13.2. Зачет или дифференцированный зачет проводятся за счет объема времени, отводимого на изучение дисциплины или междисциплинарного курса. При проведении зачета уровень подготовки обучающегося фиксируется в протоколе и зачетной книжке словом «зачет».  При проведении дифференцированного зачета уровень подготовки  обучающегося оценивается в баллах: 5(«отлично»), 4 («хорошо»), 3 («удовлетворительно»), 2 («неудовлетворительно»), оценка заносится  преподавателем в зачетную книжку (кроме «неудовлетворительно») и экзаменационную ведомость (в том числе и «неудовлетворительно») по ППССЗ и только в экзаменационную ведомость по ППКРС.</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Оценка дифференцированного зачета является окончательной оценкой по учебной дисциплине или междисциплинарного курса за данный семестр.</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3.14. Подготовка к экзамену по учебной дисциплине, междисциплинарному курсу  или комплексному экзамену по двум или нескольким дисциплинам (междисциплинарным  курсам).</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3.14.1. Экзамены проводятся в период  экзаменационных сессий или в специально отведенные дни, установленные графиком учебного процесса, утвержденного директором Техникума.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3.14.2. Экзаменационные материалы составляются на основе рабочей программы учебной дисциплины (междисциплинарного курса) и охватывают е наиболее актуальные разделы и темы. Перечень вопросов и практических задач по разделам, темам, выносимым на экзамен, разрабатывается преподавателями  дисциплины, междисциплинарному курсу в составе  Комплекта контрольно-оценочных средств, обсуждается на заседаниях </w:t>
      </w:r>
      <w:r w:rsidR="00406158">
        <w:rPr>
          <w:rFonts w:ascii="Times New Roman" w:hAnsi="Times New Roman"/>
          <w:sz w:val="24"/>
          <w:szCs w:val="24"/>
        </w:rPr>
        <w:t>ЦМК</w:t>
      </w:r>
      <w:r>
        <w:rPr>
          <w:rFonts w:ascii="Times New Roman" w:hAnsi="Times New Roman"/>
          <w:sz w:val="24"/>
          <w:szCs w:val="24"/>
        </w:rPr>
        <w:t xml:space="preserve"> и утверждается  директором (заместителем директора по УПР). Вопросы и практические задачи носят практикоориентированный характер. Формулировки вопросов должны быть четкими, краткими, понятными, исключающими двойное толкование.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3.14.3. Форма проведения  экзамена по дисциплине, междисциплинарному курсу, профессиональному модулю доводится до сведения обучающихся.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3.14.4. К началу экзамена должны быть подготовлены следующие документы: комплект контрольно-оценочных средств; наглядные пособия, материалы справочного характера, нормативные документы и образцы техники, разрешенные к использованию на экзамене; оценочный инструментарий; экзаменационная ведомость, Техническое задание и оборудование, согласно инфраструктурного листа  (в случае демонстрационного экзамена).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3.14.5. Экзамен, квалификационный экзамен принимается экзаменационной комиссией, в состав которой входит председатель (представитель администрации или руководитель цикловой методической комиссии), преподаватель, который вел  учебные занятия по данной дисциплине, междисциплинарному курсу, профессиональному модулю в экзаменуемой группе и ассистент (преподаватель смежных дисциплин). На сдачу экзамена отводится от 3 до 8 часов на учебную группу. В состав экзаменационной комиссии комплексного экзамена по двум или нескольким дисциплинам, междисциплинарным  курсам включаются те преподаватели, которые вели занятия по этим дисциплинам в экзаменуемой группе.</w:t>
      </w:r>
    </w:p>
    <w:p w:rsidR="00C302BA" w:rsidRDefault="00C302BA" w:rsidP="00C302BA">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Демонстрационный экзамен оценивается в соответствии с </w:t>
      </w:r>
      <w:r>
        <w:rPr>
          <w:rFonts w:ascii="Times New Roman" w:eastAsia="Times New Roman" w:hAnsi="Times New Roman"/>
          <w:bCs/>
          <w:sz w:val="24"/>
          <w:szCs w:val="24"/>
        </w:rPr>
        <w:t>утвержденными  методическими рекомендациями</w:t>
      </w:r>
      <w:r>
        <w:rPr>
          <w:rFonts w:ascii="Times New Roman" w:eastAsia="Times New Roman" w:hAnsi="Times New Roman"/>
          <w:b/>
          <w:bCs/>
          <w:sz w:val="24"/>
          <w:szCs w:val="24"/>
        </w:rPr>
        <w:t xml:space="preserve">  </w:t>
      </w:r>
      <w:r>
        <w:rPr>
          <w:rFonts w:ascii="Times New Roman" w:eastAsia="Times New Roman" w:hAnsi="Times New Roman"/>
          <w:bCs/>
          <w:sz w:val="24"/>
          <w:szCs w:val="24"/>
        </w:rPr>
        <w:t>о</w:t>
      </w:r>
      <w:r>
        <w:rPr>
          <w:rFonts w:ascii="Times New Roman" w:eastAsia="Times New Roman" w:hAnsi="Times New Roman"/>
          <w:position w:val="6"/>
          <w:sz w:val="24"/>
          <w:szCs w:val="24"/>
        </w:rPr>
        <w:t xml:space="preserve"> проведении аттестации с использованием механизма </w:t>
      </w:r>
      <w:r>
        <w:rPr>
          <w:rFonts w:ascii="Times New Roman" w:eastAsia="Times New Roman" w:hAnsi="Times New Roman"/>
          <w:sz w:val="24"/>
          <w:szCs w:val="24"/>
        </w:rPr>
        <w:t>демонстрационного экзамена.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lastRenderedPageBreak/>
        <w:t>3.14.6. Уровень подготовки обучающегося оценивается в баллах: 5 («отлично»), 4(«хорошо»), 3 («удовлетворительно»), 2 («неудовлетворительно»). Оценка,  полученная  на экзамене,  заносится преподавателем в зачетно - экзаменационную ведомость (в том числе и «неудовлетворительно») и в зачетную книжку (за исключением «неудовлетворительно») по ППССЗ и только в экзаменационную ведомость по ППКРС.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междисциплинарному курсу.</w:t>
      </w:r>
    </w:p>
    <w:p w:rsidR="00C302BA" w:rsidRDefault="00C302BA" w:rsidP="00C302BA">
      <w:pPr>
        <w:ind w:right="-144"/>
        <w:jc w:val="both"/>
        <w:rPr>
          <w:rFonts w:ascii="Times New Roman" w:hAnsi="Times New Roman"/>
          <w:color w:val="000000"/>
          <w:sz w:val="24"/>
          <w:szCs w:val="24"/>
        </w:rPr>
      </w:pPr>
      <w:r>
        <w:rPr>
          <w:rFonts w:ascii="Times New Roman" w:hAnsi="Times New Roman"/>
          <w:sz w:val="24"/>
          <w:szCs w:val="24"/>
        </w:rPr>
        <w:t>При проведении демонстрационного экзамена уровень подготовки обучающегося оценивается в баллах по определенным критериям.</w:t>
      </w:r>
      <w:r>
        <w:rPr>
          <w:rFonts w:ascii="Times New Roman" w:hAnsi="Times New Roman"/>
          <w:color w:val="000000"/>
          <w:sz w:val="24"/>
          <w:szCs w:val="24"/>
        </w:rPr>
        <w:t xml:space="preserve"> При определении итоговой оценки применяется шкала и определяется порядок перевода баллов в оценки в соответствии со схемой начисления баллов, разработанной на основании характеристик компетенций, определяемых техническим описанием в соответствии с кодом компетенций. Полученные баллы при оценивании результатов демонстрационного экзамена переводятся в оценки «отлично», «хорошо», «удовлетворительно», «неудовлетворительно.</w:t>
      </w:r>
    </w:p>
    <w:p w:rsidR="00C302BA" w:rsidRDefault="00C302BA" w:rsidP="00C302BA">
      <w:pPr>
        <w:ind w:right="-144"/>
        <w:jc w:val="both"/>
        <w:rPr>
          <w:rFonts w:ascii="Times New Roman" w:hAnsi="Times New Roman" w:cstheme="minorBidi"/>
          <w:sz w:val="24"/>
          <w:szCs w:val="24"/>
        </w:rPr>
      </w:pPr>
      <w:r>
        <w:rPr>
          <w:rFonts w:ascii="Times New Roman" w:hAnsi="Times New Roman"/>
          <w:sz w:val="24"/>
          <w:szCs w:val="24"/>
        </w:rPr>
        <w:t>3.15. По завершении всех экзаменов допускается пересдача экзамена (кроме демонстрационного экзамена), по которому обучающийся получил неудовлетворительную оценку по расписанию повторной аттестации, утвержденному директором Техникума.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3.16. На старших курсах допускается повторная сдача не более двух экзаменов, с целью повышения оценок по отдельным учебным дисциплинам,  в срок до выхода на преддипломную практику.</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3.17. Обучающемуся, использующему в ходе экзамена неразрешенные источники и средства для получения информации, выставляется  неудовлетворительная оценка.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3.18. В случае неявки обучающегося на экзамен, преподавателем делается в экзаменационной ведомости отметка «не явился».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3.19. Хорошо успевающим обучающимся, выполнившим лабораторные, практические и курсовые работы по дисциплинам текущего семестра и не имеющим задолженности по дисциплинам, не выносимым на промежуточную аттестацию, может быть разрешена сдача экзаменов досрочно с согласия экзаменатора, без освобождения обучающихся от текущих учебных занятий. Досрочная сдача разрешается только при наличии допуска заместителя директора по УВР по ходатайству ведущего преподавателя.  Запись сдачи экзамена в зачетной книжке и разрешении на сдачу экзамена фиксируется  фактической датой сдачи. Все разрешения собираются преподавателем, прикрепляются к экзаменационной ведомости и сдаются преподавателем в учебную часть.</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3.20. Сроки промежуточной аттестации обучающемуся могут быть продлены приказом директора Техникума при наличии уважительных причин:</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а) болезнь, подтвержденная справкой лечебного учреждения;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б) иные непредвиденные и установленные обстоятельства, не позволившие обучающемуся прибыть на экзамен.</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В исключительных случаях (переезд  на новое место жительства, призыв на службу в Вооруженные Силы Российской Федерации и т.д.) предоставляется право по просьбе </w:t>
      </w:r>
      <w:r>
        <w:rPr>
          <w:rFonts w:ascii="Times New Roman" w:hAnsi="Times New Roman"/>
          <w:sz w:val="24"/>
          <w:szCs w:val="24"/>
        </w:rPr>
        <w:lastRenderedPageBreak/>
        <w:t>обучающихся, их родителей (лиц, их заменяющих) проводить промежуточную аттестацию раньше указанного срока и решать вопрос о переводе и выпуске обучающихся.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3.21. Проведение повторной промежуточной аттестации.</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Для проведения промежуточной аттестации во второй раз создается комиссия.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Повторная промежуточная аттестация проводится для обучающихся:</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получивших неудовлетворительные оценки,</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не имевшие возможности держать ее вместе с группой из-за болезни или по другим уважительным причинам.</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Обучающиеся выпускных групп проходят повторную промежуточную аттестацию до начала государственной итоговой аттестации.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 xml:space="preserve">3.22. Обучающиеся переводятся на следующий курс при наличии оценок не ниже «удовлетворительно» по всем учебным дисциплинам (МДК, практикам) данного курса. Обучающиеся, имеющие неудовлетворительные оценки не более чем по двум учебным дисциплинам переводятся условно. </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3.23. Обучающиеся, не прошедшие промежуточной аттестации по уважительным причинам или  имеющие академическую задолженность, переводятся на следующий курс условно, с установлением определенного срока ликвидации академической задолжности.</w:t>
      </w:r>
    </w:p>
    <w:p w:rsidR="00C302BA" w:rsidRDefault="00C302BA" w:rsidP="00C302BA">
      <w:pPr>
        <w:ind w:right="-144"/>
        <w:jc w:val="both"/>
        <w:rPr>
          <w:rFonts w:ascii="Times New Roman" w:hAnsi="Times New Roman"/>
          <w:sz w:val="24"/>
          <w:szCs w:val="24"/>
        </w:rPr>
      </w:pPr>
      <w:r>
        <w:rPr>
          <w:rFonts w:ascii="Times New Roman" w:hAnsi="Times New Roman"/>
          <w:sz w:val="24"/>
          <w:szCs w:val="24"/>
        </w:rPr>
        <w:t>3.24. По представлению заместителя директора по учебно- воспитательной работе, решением педагогического Совета Техникума и приказом директора Техникума  отчисляются обучающиеся, как не выполнившие обязанностей по добросовестному освоению образовательной программы и выполнению учебного плана: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а) получившие в семестре за промежуточную аттестацию неудовлетворительные оценки по трем дисциплинам или пропустившие три экзамена из-за невыполнения учебного плана  и семестровых программ учебных дисциплин (не допущенные к трем экзаменам);</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б) получившие неудовлетворительную оценку при второй пересдаче экзамена;</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в) не ликвидировавшие академическую задолженность в течение одного года с момента образования академической задолженности;</w:t>
      </w:r>
    </w:p>
    <w:p w:rsidR="00C302BA" w:rsidRDefault="00C302BA" w:rsidP="00C302BA">
      <w:pPr>
        <w:ind w:right="-144"/>
        <w:jc w:val="both"/>
        <w:rPr>
          <w:rFonts w:ascii="Times New Roman" w:hAnsi="Times New Roman"/>
          <w:sz w:val="24"/>
          <w:szCs w:val="24"/>
        </w:rPr>
      </w:pPr>
      <w:r>
        <w:rPr>
          <w:rFonts w:ascii="Times New Roman" w:hAnsi="Times New Roman"/>
          <w:sz w:val="24"/>
          <w:szCs w:val="24"/>
        </w:rPr>
        <w:t>г)  не прошедшие учебную, производственную или преддипломную практики и не защитившие отчет о ее прохождении.</w:t>
      </w:r>
    </w:p>
    <w:p w:rsidR="00C302BA" w:rsidRDefault="00C302BA" w:rsidP="00C302BA">
      <w:pPr>
        <w:ind w:right="-144"/>
        <w:jc w:val="both"/>
        <w:rPr>
          <w:rFonts w:asciiTheme="minorHAnsi" w:hAnsiTheme="minorHAnsi"/>
        </w:rPr>
      </w:pPr>
      <w:r>
        <w:rPr>
          <w:rFonts w:ascii="Times New Roman" w:hAnsi="Times New Roman"/>
          <w:sz w:val="24"/>
          <w:szCs w:val="24"/>
        </w:rPr>
        <w:t>3.25. Экзаменационные, зачетные и</w:t>
      </w:r>
      <w:r>
        <w:rPr>
          <w:rFonts w:ascii="Times New Roman" w:hAnsi="Times New Roman"/>
          <w:b/>
          <w:sz w:val="24"/>
          <w:szCs w:val="24"/>
        </w:rPr>
        <w:t xml:space="preserve"> </w:t>
      </w:r>
      <w:r>
        <w:rPr>
          <w:rFonts w:ascii="Times New Roman" w:hAnsi="Times New Roman"/>
          <w:sz w:val="24"/>
          <w:szCs w:val="24"/>
        </w:rPr>
        <w:t>сводные ведомости и экзаменационные материалы  хранятся в учебной части.</w:t>
      </w:r>
    </w:p>
    <w:p w:rsidR="00D0728D" w:rsidRPr="00A52580" w:rsidRDefault="00D0728D" w:rsidP="001E22C0">
      <w:pPr>
        <w:ind w:right="-144"/>
        <w:jc w:val="center"/>
        <w:rPr>
          <w:rFonts w:ascii="Times New Roman" w:hAnsi="Times New Roman"/>
          <w:sz w:val="24"/>
          <w:szCs w:val="24"/>
        </w:rPr>
      </w:pPr>
      <w:r w:rsidRPr="00A52580">
        <w:rPr>
          <w:rFonts w:ascii="Times New Roman" w:hAnsi="Times New Roman"/>
          <w:sz w:val="24"/>
          <w:szCs w:val="24"/>
        </w:rPr>
        <w:lastRenderedPageBreak/>
        <w:t>4. Квалификационный экзамен.</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4.1. Квалификационный экзамен проводится непосредственно по завершению обучения  по профессиональному модулю. Если профессиональный модуль осваивается более одного семестра, квалификационный экзамен организуется в последнем семестре его освоения.</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xml:space="preserve">4.2.Условием допуска к квалификационному экзамену является успешное освоение обучающимся всех  структурных единиц модуля. Допуск к квалификационному экзамену принимается  решением педагогического Совета,  утверждается  приказом директора Техникума. </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4.3. При проведении квалификационного экзамена используются комплекты оценочных средств, разрабатываемые ведущими преподавателями и мастерами производственного обучения, которые рассматриваются методическим объединением и утверждаются  директором.</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4.4. Квалификационный экзамен принимает экзаменационная комиссия в составе: председатель комиссии - представитель работодателя или зам. директора по УПР Техникума, преподаватели  профессионального цикла и мастера  производственного обучения, представитель работодателя, секретарь комиссии (без права голоса в процедуре принятия решения).Численный состав комиссии должен составлять не менее 5 человек.</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 xml:space="preserve">По результатам квалификационного экзамена в отношении каждого обучающегося выносится решение «вид профессиональной деятельности освоен/не освоен». </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Решение фиксируется в экзаменационном листе, протоколе квалификационного экзамена, зачетной книжке (кроме неудовлетворительной оценки). Запись в зачетной книжке «Профессиональный модуль (наименование) – освоен» удостоверяется  подписью председателя атестационно - квалификационной комиссии) по ППССЗ и только в экзаменационную  ведомость  по ППКРС.</w:t>
      </w:r>
    </w:p>
    <w:p w:rsidR="00D0728D" w:rsidRPr="00A52580" w:rsidRDefault="00D0728D" w:rsidP="00074A92">
      <w:pPr>
        <w:ind w:right="-144"/>
        <w:jc w:val="both"/>
        <w:rPr>
          <w:rFonts w:ascii="Times New Roman" w:hAnsi="Times New Roman"/>
          <w:sz w:val="24"/>
          <w:szCs w:val="24"/>
        </w:rPr>
      </w:pPr>
      <w:r w:rsidRPr="00A52580">
        <w:rPr>
          <w:rFonts w:ascii="Times New Roman" w:hAnsi="Times New Roman"/>
          <w:sz w:val="24"/>
          <w:szCs w:val="24"/>
        </w:rPr>
        <w:t>Протоколы квалификационных экзаменов хранятся в архиве Техникума в течении 5 лет.</w:t>
      </w:r>
    </w:p>
    <w:p w:rsidR="00D0728D" w:rsidRPr="00A52580" w:rsidRDefault="00D0728D" w:rsidP="001E22C0">
      <w:pPr>
        <w:ind w:right="-144"/>
        <w:jc w:val="center"/>
        <w:rPr>
          <w:rFonts w:ascii="Times New Roman" w:hAnsi="Times New Roman"/>
          <w:sz w:val="24"/>
          <w:szCs w:val="24"/>
        </w:rPr>
      </w:pPr>
      <w:r>
        <w:rPr>
          <w:rFonts w:ascii="Times New Roman" w:hAnsi="Times New Roman"/>
          <w:sz w:val="24"/>
          <w:szCs w:val="24"/>
        </w:rPr>
        <w:t>5</w:t>
      </w:r>
      <w:r w:rsidRPr="00A52580">
        <w:rPr>
          <w:rFonts w:ascii="Times New Roman" w:hAnsi="Times New Roman"/>
          <w:sz w:val="24"/>
          <w:szCs w:val="24"/>
        </w:rPr>
        <w:t>. Условия перезачета оценок по дисциплинам и профессиональным модулям.</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Pr>
          <w:rFonts w:ascii="Times New Roman" w:hAnsi="Times New Roman"/>
          <w:sz w:val="24"/>
          <w:szCs w:val="24"/>
          <w:lang w:eastAsia="ru-RU"/>
        </w:rPr>
        <w:t>5</w:t>
      </w:r>
      <w:r w:rsidRPr="00A52580">
        <w:rPr>
          <w:rFonts w:ascii="Times New Roman" w:hAnsi="Times New Roman"/>
          <w:sz w:val="24"/>
          <w:szCs w:val="24"/>
          <w:lang w:eastAsia="ru-RU"/>
        </w:rPr>
        <w:t>.1. Перезачет дисциплин и профессиональных модулей возможен при условии соответствия наименования и содержания дисциплины или профессионального модуля, количества аудиторных часов, отведенных на изучение по ФГОС ППКРС, ППССЗ, рабочему учебному плану и указанному в справке об обучении.</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Pr>
          <w:rFonts w:ascii="Times New Roman" w:hAnsi="Times New Roman"/>
          <w:sz w:val="24"/>
          <w:szCs w:val="24"/>
          <w:lang w:eastAsia="ru-RU"/>
        </w:rPr>
        <w:t>5</w:t>
      </w:r>
      <w:r w:rsidRPr="00A52580">
        <w:rPr>
          <w:rFonts w:ascii="Times New Roman" w:hAnsi="Times New Roman"/>
          <w:sz w:val="24"/>
          <w:szCs w:val="24"/>
          <w:lang w:eastAsia="ru-RU"/>
        </w:rPr>
        <w:t>.2.Перезачет дисциплин или профессиональных модулей рассматривается в случаях:</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sidRPr="00A52580">
        <w:rPr>
          <w:rFonts w:ascii="Times New Roman" w:hAnsi="Times New Roman"/>
          <w:sz w:val="24"/>
          <w:szCs w:val="24"/>
          <w:lang w:eastAsia="ru-RU"/>
        </w:rPr>
        <w:t>при переходе обучающегося с одной специальности на другую в учебном заведении;</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sidRPr="00A52580">
        <w:rPr>
          <w:rFonts w:ascii="Times New Roman" w:hAnsi="Times New Roman"/>
          <w:sz w:val="24"/>
          <w:szCs w:val="24"/>
          <w:lang w:eastAsia="ru-RU"/>
        </w:rPr>
        <w:t> при переходе обучающегося с одной формы обучения на другую в учебном заведении;</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sidRPr="00A52580">
        <w:rPr>
          <w:rFonts w:ascii="Times New Roman" w:hAnsi="Times New Roman"/>
          <w:sz w:val="24"/>
          <w:szCs w:val="24"/>
          <w:lang w:eastAsia="ru-RU"/>
        </w:rPr>
        <w:t> при приеме обучающегося в порядке перевода из одного учебного заведения в другое;</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sidRPr="00A52580">
        <w:rPr>
          <w:rFonts w:ascii="Times New Roman" w:hAnsi="Times New Roman"/>
          <w:sz w:val="24"/>
          <w:szCs w:val="24"/>
          <w:lang w:eastAsia="ru-RU"/>
        </w:rPr>
        <w:t> при восстановлении лиц, ранее обучавшихся в учебном заведении;</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sidRPr="00A52580">
        <w:rPr>
          <w:rFonts w:ascii="Times New Roman" w:hAnsi="Times New Roman"/>
          <w:sz w:val="24"/>
          <w:szCs w:val="24"/>
          <w:lang w:eastAsia="ru-RU"/>
        </w:rPr>
        <w:t> при зачислении в число обучающихся лиц на основании справки об обучении из другого учебного заведения;</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sidRPr="00A52580">
        <w:rPr>
          <w:rFonts w:ascii="Times New Roman" w:hAnsi="Times New Roman"/>
          <w:sz w:val="24"/>
          <w:szCs w:val="24"/>
          <w:lang w:eastAsia="ru-RU"/>
        </w:rPr>
        <w:lastRenderedPageBreak/>
        <w:t> при поступлении в  Техникум для получения второго среднего профессионального образования.</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Pr>
          <w:rFonts w:ascii="Times New Roman" w:hAnsi="Times New Roman"/>
          <w:sz w:val="24"/>
          <w:szCs w:val="24"/>
          <w:lang w:eastAsia="ru-RU"/>
        </w:rPr>
        <w:t>5</w:t>
      </w:r>
      <w:r w:rsidRPr="00A52580">
        <w:rPr>
          <w:rFonts w:ascii="Times New Roman" w:hAnsi="Times New Roman"/>
          <w:sz w:val="24"/>
          <w:szCs w:val="24"/>
          <w:lang w:eastAsia="ru-RU"/>
        </w:rPr>
        <w:t>.3.В случае несоответствия количества аудиторных часов по дисциплине или профессиональному модулю (расхождение более 10%)  с обучающимся проводится собеседование преподавателем по соответствующей дисциплине или профессиональному модулю, в ходе которого определяется возможность и условия для перезачета дисциплины или профессионального модуля.</w:t>
      </w:r>
    </w:p>
    <w:p w:rsidR="00D0728D" w:rsidRPr="00A52580" w:rsidRDefault="00D0728D" w:rsidP="00074A92">
      <w:pPr>
        <w:spacing w:before="100" w:beforeAutospacing="1" w:after="100" w:afterAutospacing="1"/>
        <w:ind w:right="-144"/>
        <w:jc w:val="both"/>
        <w:rPr>
          <w:rFonts w:ascii="Times New Roman" w:hAnsi="Times New Roman"/>
          <w:sz w:val="24"/>
          <w:szCs w:val="24"/>
          <w:lang w:eastAsia="ru-RU"/>
        </w:rPr>
      </w:pPr>
      <w:r>
        <w:rPr>
          <w:rFonts w:ascii="Times New Roman" w:hAnsi="Times New Roman"/>
          <w:sz w:val="24"/>
          <w:szCs w:val="24"/>
          <w:lang w:eastAsia="ru-RU"/>
        </w:rPr>
        <w:t>5</w:t>
      </w:r>
      <w:r w:rsidRPr="00A52580">
        <w:rPr>
          <w:rFonts w:ascii="Times New Roman" w:hAnsi="Times New Roman"/>
          <w:sz w:val="24"/>
          <w:szCs w:val="24"/>
          <w:lang w:eastAsia="ru-RU"/>
        </w:rPr>
        <w:t>.4. При невозможности  перезачета дисциплины или профессионального модуля обучающийся обязан пройти промежуточную аттестацию по дисциплине или профессиональному модулю, либо изучать их вновь в форме, определяемой самим обучающимся (очная, заочная, для чего составляется индивидуальная программа обучения, утверждаемая директором Техникума. Итоговые оценки за учебную дисциплину, профессиональный модуль, заносится в зачетно - экзаменационную  ведомость по промежуточной аттестации.</w:t>
      </w:r>
    </w:p>
    <w:p w:rsidR="00D0728D" w:rsidRDefault="00D0728D" w:rsidP="00074A92">
      <w:pPr>
        <w:shd w:val="clear" w:color="auto" w:fill="FFFFFF"/>
        <w:spacing w:before="307"/>
        <w:ind w:right="-144"/>
        <w:jc w:val="both"/>
        <w:rPr>
          <w:rFonts w:ascii="Times New Roman" w:hAnsi="Times New Roman"/>
          <w:sz w:val="24"/>
          <w:szCs w:val="24"/>
        </w:rPr>
      </w:pPr>
      <w:r>
        <w:rPr>
          <w:rFonts w:ascii="Times New Roman" w:hAnsi="Times New Roman"/>
          <w:spacing w:val="-1"/>
          <w:sz w:val="24"/>
          <w:szCs w:val="24"/>
        </w:rPr>
        <w:t>6</w:t>
      </w:r>
      <w:r w:rsidRPr="00A52580">
        <w:rPr>
          <w:rFonts w:ascii="Times New Roman" w:hAnsi="Times New Roman"/>
          <w:spacing w:val="-1"/>
          <w:sz w:val="24"/>
          <w:szCs w:val="24"/>
        </w:rPr>
        <w:t xml:space="preserve">. Оплата за проведение промежуточных, квалификационных экзаменов по учебным дисциплинам, междисциплинарным курсам и профессиональным модулям производится </w:t>
      </w:r>
      <w:r w:rsidRPr="00A52580">
        <w:rPr>
          <w:rFonts w:ascii="Times New Roman" w:hAnsi="Times New Roman"/>
          <w:sz w:val="24"/>
          <w:szCs w:val="24"/>
        </w:rPr>
        <w:t>членам аттестационной комиссии, фактически принимавшем участие в данной аттестации, из расчета не более чем по шесть часов каждому на одну группу из раздела тарификации Консультации, экзамены.</w:t>
      </w: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074A92">
      <w:pPr>
        <w:shd w:val="clear" w:color="auto" w:fill="FFFFFF"/>
        <w:spacing w:before="307"/>
        <w:ind w:right="-144"/>
        <w:jc w:val="both"/>
        <w:rPr>
          <w:rFonts w:ascii="Times New Roman" w:hAnsi="Times New Roman"/>
          <w:sz w:val="24"/>
          <w:szCs w:val="24"/>
        </w:rPr>
      </w:pPr>
    </w:p>
    <w:p w:rsidR="001E3F70" w:rsidRDefault="001E3F70" w:rsidP="001E3F70">
      <w:pPr>
        <w:pStyle w:val="ab"/>
        <w:spacing w:line="276" w:lineRule="auto"/>
        <w:jc w:val="right"/>
        <w:rPr>
          <w:rFonts w:ascii="Times New Roman" w:eastAsiaTheme="minorEastAsia" w:hAnsi="Times New Roman"/>
        </w:rPr>
      </w:pPr>
      <w:r>
        <w:rPr>
          <w:rFonts w:ascii="Times New Roman" w:hAnsi="Times New Roman"/>
        </w:rPr>
        <w:t>Директору АПОУ РА «ТОТ»</w:t>
      </w:r>
    </w:p>
    <w:p w:rsidR="001E3F70" w:rsidRDefault="001E3F70" w:rsidP="001E3F70">
      <w:pPr>
        <w:pStyle w:val="ab"/>
        <w:spacing w:line="276" w:lineRule="auto"/>
        <w:jc w:val="right"/>
        <w:rPr>
          <w:rFonts w:ascii="Times New Roman" w:hAnsi="Times New Roman"/>
        </w:rPr>
      </w:pPr>
      <w:r>
        <w:rPr>
          <w:rFonts w:ascii="Times New Roman" w:hAnsi="Times New Roman"/>
        </w:rPr>
        <w:t>Лукьяновой Н.С.</w:t>
      </w:r>
    </w:p>
    <w:p w:rsidR="001E3F70" w:rsidRDefault="001E3F70" w:rsidP="001E3F70">
      <w:pPr>
        <w:pStyle w:val="ab"/>
        <w:spacing w:line="276" w:lineRule="auto"/>
        <w:jc w:val="right"/>
        <w:rPr>
          <w:rFonts w:ascii="Times New Roman" w:hAnsi="Times New Roman"/>
        </w:rPr>
      </w:pPr>
      <w:r>
        <w:rPr>
          <w:rFonts w:ascii="Times New Roman" w:hAnsi="Times New Roman"/>
        </w:rPr>
        <w:t>От обучающегося группы №____</w:t>
      </w:r>
    </w:p>
    <w:p w:rsidR="001E3F70" w:rsidRDefault="001E3F70" w:rsidP="001E3F70">
      <w:pPr>
        <w:pStyle w:val="ab"/>
        <w:spacing w:line="276" w:lineRule="auto"/>
        <w:jc w:val="right"/>
        <w:rPr>
          <w:rFonts w:ascii="Times New Roman" w:hAnsi="Times New Roman"/>
          <w:u w:val="single"/>
        </w:rPr>
      </w:pPr>
      <w:r>
        <w:rPr>
          <w:rFonts w:ascii="Times New Roman" w:hAnsi="Times New Roman"/>
        </w:rPr>
        <w:t>_____________________________</w:t>
      </w:r>
    </w:p>
    <w:p w:rsidR="001E3F70" w:rsidRDefault="001E3F70" w:rsidP="001E3F70">
      <w:pPr>
        <w:pStyle w:val="2"/>
        <w:spacing w:after="0" w:afterAutospacing="0" w:line="276" w:lineRule="auto"/>
        <w:ind w:firstLine="142"/>
        <w:jc w:val="center"/>
        <w:rPr>
          <w:bCs w:val="0"/>
          <w:sz w:val="20"/>
        </w:rPr>
      </w:pPr>
    </w:p>
    <w:p w:rsidR="001E3F70" w:rsidRDefault="001E3F70" w:rsidP="001E3F70">
      <w:pPr>
        <w:pStyle w:val="2"/>
        <w:spacing w:after="0" w:afterAutospacing="0" w:line="276" w:lineRule="auto"/>
        <w:ind w:firstLine="142"/>
        <w:jc w:val="center"/>
        <w:rPr>
          <w:bCs w:val="0"/>
          <w:sz w:val="20"/>
        </w:rPr>
      </w:pPr>
      <w:r>
        <w:rPr>
          <w:bCs w:val="0"/>
          <w:sz w:val="20"/>
        </w:rPr>
        <w:lastRenderedPageBreak/>
        <w:t>ЗАЯВЛЕНИЕ О ПЕРЕЗАЧЕТЕ</w:t>
      </w:r>
    </w:p>
    <w:p w:rsidR="001E3F70" w:rsidRDefault="001E3F70" w:rsidP="001E3F70">
      <w:pPr>
        <w:spacing w:after="0"/>
        <w:rPr>
          <w:rFonts w:ascii="Times New Roman" w:hAnsi="Times New Roman"/>
          <w:bCs/>
          <w:sz w:val="20"/>
        </w:rPr>
      </w:pPr>
      <w:r>
        <w:rPr>
          <w:rFonts w:ascii="Times New Roman" w:hAnsi="Times New Roman"/>
          <w:bCs/>
          <w:sz w:val="20"/>
        </w:rPr>
        <w:t>Я, _________________________________________________________________________________________</w:t>
      </w:r>
    </w:p>
    <w:p w:rsidR="001E3F70" w:rsidRDefault="001E3F70" w:rsidP="001E3F70">
      <w:pPr>
        <w:spacing w:after="0"/>
        <w:jc w:val="center"/>
        <w:rPr>
          <w:rFonts w:ascii="Times New Roman" w:hAnsi="Times New Roman"/>
          <w:bCs/>
          <w:sz w:val="20"/>
          <w:vertAlign w:val="superscript"/>
        </w:rPr>
      </w:pPr>
      <w:r>
        <w:rPr>
          <w:rFonts w:ascii="Times New Roman" w:hAnsi="Times New Roman"/>
          <w:bCs/>
          <w:sz w:val="20"/>
          <w:vertAlign w:val="superscript"/>
        </w:rPr>
        <w:t>(фамилия, имя, отчество)</w:t>
      </w:r>
    </w:p>
    <w:p w:rsidR="001E3F70" w:rsidRDefault="001E3F70" w:rsidP="001E3F70">
      <w:pPr>
        <w:spacing w:after="0"/>
        <w:rPr>
          <w:rFonts w:ascii="Times New Roman" w:hAnsi="Times New Roman"/>
          <w:bCs/>
          <w:sz w:val="20"/>
        </w:rPr>
      </w:pPr>
      <w:r>
        <w:rPr>
          <w:rFonts w:ascii="Times New Roman" w:hAnsi="Times New Roman"/>
          <w:bCs/>
          <w:sz w:val="20"/>
        </w:rPr>
        <w:t>Обучался с_______г  .по ________г. в ____________________________________________________________</w:t>
      </w:r>
    </w:p>
    <w:p w:rsidR="001E3F70" w:rsidRDefault="001E3F70" w:rsidP="001E3F70">
      <w:pPr>
        <w:spacing w:after="0"/>
        <w:jc w:val="center"/>
        <w:rPr>
          <w:rFonts w:ascii="Times New Roman" w:hAnsi="Times New Roman"/>
          <w:bCs/>
          <w:sz w:val="20"/>
          <w:szCs w:val="20"/>
          <w:vertAlign w:val="superscript"/>
        </w:rPr>
      </w:pPr>
      <w:r>
        <w:rPr>
          <w:rFonts w:ascii="Times New Roman" w:hAnsi="Times New Roman"/>
          <w:bCs/>
          <w:sz w:val="20"/>
          <w:szCs w:val="20"/>
          <w:vertAlign w:val="superscript"/>
        </w:rPr>
        <w:t>(наименование ОУ)</w:t>
      </w:r>
    </w:p>
    <w:p w:rsidR="001E3F70" w:rsidRDefault="001E3F70" w:rsidP="001E3F70">
      <w:pPr>
        <w:spacing w:after="0"/>
        <w:rPr>
          <w:rFonts w:ascii="Times New Roman" w:hAnsi="Times New Roman"/>
          <w:bCs/>
          <w:sz w:val="20"/>
        </w:rPr>
      </w:pPr>
      <w:r>
        <w:rPr>
          <w:rFonts w:ascii="Times New Roman" w:hAnsi="Times New Roman"/>
          <w:bCs/>
          <w:sz w:val="20"/>
        </w:rPr>
        <w:t>по специальности____________________________________________________________________________</w:t>
      </w:r>
    </w:p>
    <w:p w:rsidR="001E3F70" w:rsidRDefault="001E3F70" w:rsidP="001E3F70">
      <w:pPr>
        <w:spacing w:after="0"/>
        <w:jc w:val="center"/>
        <w:rPr>
          <w:rFonts w:ascii="Times New Roman" w:hAnsi="Times New Roman"/>
          <w:bCs/>
          <w:i/>
          <w:sz w:val="16"/>
          <w:szCs w:val="16"/>
        </w:rPr>
      </w:pPr>
      <w:r>
        <w:rPr>
          <w:rFonts w:ascii="Times New Roman" w:hAnsi="Times New Roman"/>
          <w:bCs/>
          <w:i/>
          <w:sz w:val="16"/>
          <w:szCs w:val="16"/>
        </w:rPr>
        <w:t>(код, наименование специальности)</w:t>
      </w:r>
    </w:p>
    <w:p w:rsidR="001E3F70" w:rsidRDefault="001E3F70" w:rsidP="001E3F70">
      <w:pPr>
        <w:spacing w:after="0"/>
        <w:rPr>
          <w:rFonts w:ascii="Times New Roman" w:hAnsi="Times New Roman"/>
          <w:bCs/>
          <w:sz w:val="20"/>
        </w:rPr>
      </w:pPr>
      <w:r>
        <w:rPr>
          <w:rFonts w:ascii="Times New Roman" w:hAnsi="Times New Roman"/>
          <w:bCs/>
          <w:sz w:val="20"/>
        </w:rPr>
        <w:t>Представленные документы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3F70" w:rsidRPr="001E3F70" w:rsidRDefault="001E3F70" w:rsidP="001E3F70">
      <w:pPr>
        <w:spacing w:after="0"/>
        <w:jc w:val="center"/>
        <w:rPr>
          <w:rFonts w:ascii="Times New Roman" w:hAnsi="Times New Roman"/>
          <w:bCs/>
          <w:sz w:val="20"/>
          <w:vertAlign w:val="superscript"/>
        </w:rPr>
      </w:pPr>
      <w:r>
        <w:rPr>
          <w:rFonts w:ascii="Times New Roman" w:hAnsi="Times New Roman"/>
          <w:bCs/>
          <w:sz w:val="20"/>
          <w:vertAlign w:val="superscript"/>
        </w:rPr>
        <w:t>(</w:t>
      </w:r>
      <w:r w:rsidRPr="001E3F70">
        <w:rPr>
          <w:rFonts w:ascii="Times New Roman" w:hAnsi="Times New Roman"/>
          <w:bCs/>
          <w:sz w:val="20"/>
          <w:vertAlign w:val="superscript"/>
        </w:rPr>
        <w:t>Выписка из диплома       №___________________ от  «______» _____г., академическая справка  и др</w:t>
      </w:r>
      <w:r>
        <w:rPr>
          <w:rFonts w:ascii="Times New Roman" w:hAnsi="Times New Roman"/>
          <w:bCs/>
          <w:sz w:val="20"/>
          <w:vertAlign w:val="superscript"/>
        </w:rPr>
        <w:t>.)</w:t>
      </w:r>
    </w:p>
    <w:p w:rsidR="001E3F70" w:rsidRPr="001E3F70" w:rsidRDefault="001E3F70" w:rsidP="001E3F70">
      <w:pPr>
        <w:spacing w:after="0"/>
        <w:jc w:val="center"/>
        <w:rPr>
          <w:rFonts w:ascii="Times New Roman" w:hAnsi="Times New Roman"/>
          <w:bCs/>
          <w:sz w:val="20"/>
          <w:vertAlign w:val="superscript"/>
        </w:rPr>
      </w:pPr>
    </w:p>
    <w:p w:rsidR="001E3F70" w:rsidRDefault="001E3F70" w:rsidP="001E3F70">
      <w:pPr>
        <w:pStyle w:val="1"/>
        <w:spacing w:beforeAutospacing="0" w:after="0" w:afterAutospacing="0" w:line="276" w:lineRule="auto"/>
        <w:ind w:right="-185"/>
        <w:rPr>
          <w:b w:val="0"/>
          <w:bCs w:val="0"/>
          <w:sz w:val="20"/>
        </w:rPr>
      </w:pPr>
      <w:r>
        <w:rPr>
          <w:b w:val="0"/>
          <w:bCs w:val="0"/>
          <w:sz w:val="20"/>
        </w:rPr>
        <w:t xml:space="preserve">С «_____»_______20___г. продолжаю обучение на _________курсе по________________ форме </w:t>
      </w:r>
    </w:p>
    <w:p w:rsidR="001E3F70" w:rsidRDefault="001E3F70" w:rsidP="001E3F70">
      <w:pPr>
        <w:pStyle w:val="1"/>
        <w:spacing w:beforeAutospacing="0" w:after="0" w:afterAutospacing="0" w:line="276" w:lineRule="auto"/>
        <w:ind w:right="-185"/>
        <w:rPr>
          <w:b w:val="0"/>
          <w:bCs w:val="0"/>
          <w:sz w:val="20"/>
        </w:rPr>
      </w:pPr>
      <w:r>
        <w:rPr>
          <w:b w:val="0"/>
          <w:bCs w:val="0"/>
          <w:sz w:val="20"/>
        </w:rPr>
        <w:t>обучения  по  специальности _________________________________________________________________________________</w:t>
      </w:r>
    </w:p>
    <w:p w:rsidR="001E3F70" w:rsidRDefault="001E3F70" w:rsidP="001E3F70">
      <w:pPr>
        <w:spacing w:after="0"/>
        <w:jc w:val="center"/>
        <w:rPr>
          <w:rFonts w:ascii="Times New Roman" w:hAnsi="Times New Roman"/>
          <w:bCs/>
          <w:i/>
          <w:sz w:val="16"/>
          <w:szCs w:val="16"/>
        </w:rPr>
      </w:pPr>
      <w:r>
        <w:rPr>
          <w:rFonts w:ascii="Times New Roman" w:hAnsi="Times New Roman"/>
          <w:bCs/>
          <w:i/>
          <w:sz w:val="16"/>
          <w:szCs w:val="16"/>
        </w:rPr>
        <w:t>(код, наименование специальности)</w:t>
      </w:r>
    </w:p>
    <w:p w:rsidR="001E3F70" w:rsidRDefault="001E3F70" w:rsidP="001E3F70">
      <w:pPr>
        <w:pStyle w:val="a9"/>
        <w:spacing w:after="0"/>
        <w:rPr>
          <w:rFonts w:ascii="Times New Roman" w:hAnsi="Times New Roman"/>
          <w:bCs/>
          <w:sz w:val="20"/>
        </w:rPr>
      </w:pPr>
      <w:r>
        <w:rPr>
          <w:rFonts w:ascii="Times New Roman" w:hAnsi="Times New Roman"/>
          <w:bCs/>
          <w:sz w:val="20"/>
        </w:rPr>
        <w:t>Прошу перезачесть результаты дисциплин, экзаменов, зачетов, курсовых работ (проектов )и практик по следующим дисциплинам:</w:t>
      </w:r>
    </w:p>
    <w:tbl>
      <w:tblPr>
        <w:tblW w:w="104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4686"/>
        <w:gridCol w:w="1956"/>
        <w:gridCol w:w="2198"/>
      </w:tblGrid>
      <w:tr w:rsidR="001E3F70" w:rsidTr="001E3F70">
        <w:trPr>
          <w:trHeight w:val="1123"/>
        </w:trPr>
        <w:tc>
          <w:tcPr>
            <w:tcW w:w="1638" w:type="dxa"/>
            <w:tcBorders>
              <w:top w:val="single" w:sz="4" w:space="0" w:color="auto"/>
              <w:left w:val="single" w:sz="4" w:space="0" w:color="auto"/>
              <w:bottom w:val="single" w:sz="4" w:space="0" w:color="auto"/>
              <w:right w:val="single" w:sz="4" w:space="0" w:color="auto"/>
            </w:tcBorders>
            <w:vAlign w:val="center"/>
            <w:hideMark/>
          </w:tcPr>
          <w:p w:rsidR="001E3F70" w:rsidRDefault="001E3F70">
            <w:pPr>
              <w:spacing w:after="0"/>
              <w:jc w:val="center"/>
              <w:rPr>
                <w:rFonts w:ascii="Times New Roman" w:hAnsi="Times New Roman"/>
                <w:b/>
                <w:bCs/>
                <w:sz w:val="16"/>
                <w:szCs w:val="16"/>
              </w:rPr>
            </w:pPr>
            <w:r>
              <w:rPr>
                <w:rFonts w:ascii="Times New Roman" w:hAnsi="Times New Roman"/>
                <w:b/>
                <w:bCs/>
                <w:sz w:val="16"/>
                <w:szCs w:val="16"/>
              </w:rPr>
              <w:t>№</w:t>
            </w:r>
          </w:p>
          <w:p w:rsidR="001E3F70" w:rsidRDefault="001E3F70">
            <w:pPr>
              <w:spacing w:after="0"/>
              <w:jc w:val="center"/>
              <w:rPr>
                <w:rFonts w:ascii="Times New Roman" w:hAnsi="Times New Roman"/>
                <w:b/>
                <w:bCs/>
                <w:sz w:val="16"/>
                <w:szCs w:val="16"/>
              </w:rPr>
            </w:pPr>
            <w:r>
              <w:rPr>
                <w:rFonts w:ascii="Times New Roman" w:hAnsi="Times New Roman"/>
                <w:b/>
                <w:bCs/>
                <w:sz w:val="16"/>
                <w:szCs w:val="16"/>
              </w:rPr>
              <w:t>п/п</w:t>
            </w:r>
          </w:p>
        </w:tc>
        <w:tc>
          <w:tcPr>
            <w:tcW w:w="4686" w:type="dxa"/>
            <w:tcBorders>
              <w:top w:val="single" w:sz="4" w:space="0" w:color="auto"/>
              <w:left w:val="single" w:sz="4" w:space="0" w:color="auto"/>
              <w:bottom w:val="single" w:sz="4" w:space="0" w:color="auto"/>
              <w:right w:val="single" w:sz="4" w:space="0" w:color="auto"/>
            </w:tcBorders>
            <w:vAlign w:val="center"/>
            <w:hideMark/>
          </w:tcPr>
          <w:p w:rsidR="001E3F70" w:rsidRDefault="001E3F70">
            <w:pPr>
              <w:spacing w:after="0"/>
              <w:jc w:val="center"/>
              <w:rPr>
                <w:rFonts w:ascii="Times New Roman" w:hAnsi="Times New Roman"/>
                <w:b/>
                <w:bCs/>
                <w:sz w:val="16"/>
                <w:szCs w:val="16"/>
              </w:rPr>
            </w:pPr>
            <w:r>
              <w:rPr>
                <w:rFonts w:ascii="Times New Roman" w:hAnsi="Times New Roman"/>
                <w:b/>
                <w:bCs/>
                <w:sz w:val="16"/>
                <w:szCs w:val="16"/>
              </w:rPr>
              <w:t>Наименование дисциплины по документу о</w:t>
            </w:r>
          </w:p>
          <w:p w:rsidR="001E3F70" w:rsidRDefault="001E3F70">
            <w:pPr>
              <w:spacing w:after="0"/>
              <w:jc w:val="center"/>
              <w:rPr>
                <w:rFonts w:ascii="Times New Roman" w:hAnsi="Times New Roman"/>
                <w:b/>
                <w:bCs/>
                <w:sz w:val="16"/>
                <w:szCs w:val="16"/>
              </w:rPr>
            </w:pPr>
            <w:r>
              <w:rPr>
                <w:rFonts w:ascii="Times New Roman" w:hAnsi="Times New Roman"/>
                <w:b/>
                <w:bCs/>
                <w:sz w:val="16"/>
                <w:szCs w:val="16"/>
              </w:rPr>
              <w:t>предыдущем образовании</w:t>
            </w:r>
          </w:p>
        </w:tc>
        <w:tc>
          <w:tcPr>
            <w:tcW w:w="1956" w:type="dxa"/>
            <w:tcBorders>
              <w:top w:val="single" w:sz="4" w:space="0" w:color="auto"/>
              <w:left w:val="single" w:sz="4" w:space="0" w:color="auto"/>
              <w:bottom w:val="single" w:sz="4" w:space="0" w:color="auto"/>
              <w:right w:val="single" w:sz="4" w:space="0" w:color="auto"/>
            </w:tcBorders>
            <w:vAlign w:val="center"/>
          </w:tcPr>
          <w:p w:rsidR="001E3F70" w:rsidRDefault="001E3F70">
            <w:pPr>
              <w:spacing w:after="0"/>
              <w:jc w:val="center"/>
              <w:rPr>
                <w:rFonts w:ascii="Times New Roman" w:hAnsi="Times New Roman"/>
                <w:b/>
                <w:bCs/>
                <w:sz w:val="16"/>
                <w:szCs w:val="16"/>
              </w:rPr>
            </w:pPr>
            <w:r>
              <w:rPr>
                <w:rFonts w:ascii="Times New Roman" w:hAnsi="Times New Roman"/>
                <w:b/>
                <w:bCs/>
                <w:sz w:val="16"/>
                <w:szCs w:val="16"/>
              </w:rPr>
              <w:t>Объем часов</w:t>
            </w:r>
          </w:p>
          <w:p w:rsidR="001E3F70" w:rsidRDefault="001E3F70">
            <w:pPr>
              <w:spacing w:after="0"/>
              <w:jc w:val="center"/>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vAlign w:val="center"/>
            <w:hideMark/>
          </w:tcPr>
          <w:p w:rsidR="001E3F70" w:rsidRDefault="001E3F70">
            <w:pPr>
              <w:spacing w:after="0"/>
              <w:jc w:val="center"/>
              <w:rPr>
                <w:rFonts w:ascii="Times New Roman" w:hAnsi="Times New Roman"/>
                <w:b/>
                <w:bCs/>
                <w:sz w:val="16"/>
                <w:szCs w:val="16"/>
              </w:rPr>
            </w:pPr>
            <w:r>
              <w:rPr>
                <w:rFonts w:ascii="Times New Roman" w:hAnsi="Times New Roman"/>
                <w:b/>
                <w:bCs/>
                <w:sz w:val="16"/>
                <w:szCs w:val="16"/>
              </w:rPr>
              <w:t>Оценка</w:t>
            </w: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r w:rsidR="001E3F70" w:rsidTr="001E3F70">
        <w:trPr>
          <w:trHeight w:val="289"/>
        </w:trPr>
        <w:tc>
          <w:tcPr>
            <w:tcW w:w="1638" w:type="dxa"/>
            <w:tcBorders>
              <w:top w:val="single" w:sz="4" w:space="0" w:color="auto"/>
              <w:left w:val="single" w:sz="4" w:space="0" w:color="auto"/>
              <w:bottom w:val="single" w:sz="4" w:space="0" w:color="auto"/>
              <w:right w:val="single" w:sz="4" w:space="0" w:color="auto"/>
            </w:tcBorders>
          </w:tcPr>
          <w:p w:rsidR="001E3F70" w:rsidRDefault="001E3F70" w:rsidP="001E3F70">
            <w:pPr>
              <w:numPr>
                <w:ilvl w:val="0"/>
                <w:numId w:val="2"/>
              </w:numPr>
              <w:spacing w:after="0"/>
              <w:jc w:val="center"/>
              <w:rPr>
                <w:rFonts w:ascii="Times New Roman" w:hAnsi="Times New Roman"/>
                <w:b/>
                <w:bCs/>
                <w:sz w:val="16"/>
                <w:szCs w:val="16"/>
              </w:rPr>
            </w:pPr>
          </w:p>
        </w:tc>
        <w:tc>
          <w:tcPr>
            <w:tcW w:w="468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1956"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c>
          <w:tcPr>
            <w:tcW w:w="2198" w:type="dxa"/>
            <w:tcBorders>
              <w:top w:val="single" w:sz="4" w:space="0" w:color="auto"/>
              <w:left w:val="single" w:sz="4" w:space="0" w:color="auto"/>
              <w:bottom w:val="single" w:sz="4" w:space="0" w:color="auto"/>
              <w:right w:val="single" w:sz="4" w:space="0" w:color="auto"/>
            </w:tcBorders>
          </w:tcPr>
          <w:p w:rsidR="001E3F70" w:rsidRDefault="001E3F70">
            <w:pPr>
              <w:spacing w:after="0"/>
              <w:rPr>
                <w:rFonts w:ascii="Times New Roman" w:hAnsi="Times New Roman"/>
                <w:b/>
                <w:bCs/>
                <w:sz w:val="16"/>
                <w:szCs w:val="16"/>
              </w:rPr>
            </w:pPr>
          </w:p>
        </w:tc>
      </w:tr>
    </w:tbl>
    <w:p w:rsidR="001E3F70" w:rsidRDefault="001E3F70" w:rsidP="001E3F70">
      <w:pPr>
        <w:spacing w:after="0"/>
        <w:rPr>
          <w:rFonts w:ascii="Times New Roman" w:hAnsi="Times New Roman"/>
          <w:bCs/>
          <w:sz w:val="20"/>
        </w:rPr>
      </w:pPr>
    </w:p>
    <w:p w:rsidR="001E3F70" w:rsidRDefault="001E3F70" w:rsidP="001E3F70">
      <w:pPr>
        <w:spacing w:after="0"/>
        <w:rPr>
          <w:rFonts w:ascii="Times New Roman" w:hAnsi="Times New Roman"/>
          <w:bCs/>
          <w:sz w:val="20"/>
        </w:rPr>
      </w:pPr>
      <w:r>
        <w:rPr>
          <w:rFonts w:ascii="Times New Roman" w:hAnsi="Times New Roman"/>
          <w:bCs/>
          <w:sz w:val="20"/>
        </w:rPr>
        <w:t>Обучающийся ___________________________________________(______________________________)</w:t>
      </w:r>
    </w:p>
    <w:p w:rsidR="001E3F70" w:rsidRDefault="001E3F70" w:rsidP="001E3F70">
      <w:pPr>
        <w:spacing w:after="0"/>
        <w:rPr>
          <w:rFonts w:ascii="Times New Roman" w:hAnsi="Times New Roman"/>
          <w:bCs/>
          <w:sz w:val="20"/>
        </w:rPr>
      </w:pPr>
      <w:r>
        <w:rPr>
          <w:rFonts w:ascii="Times New Roman" w:hAnsi="Times New Roman"/>
          <w:bCs/>
          <w:sz w:val="20"/>
        </w:rPr>
        <w:t>Дата «_______»____________________200___г.</w:t>
      </w:r>
    </w:p>
    <w:p w:rsidR="001E3F70" w:rsidRDefault="001E3F70" w:rsidP="001E3F70">
      <w:pPr>
        <w:spacing w:after="0"/>
        <w:rPr>
          <w:rFonts w:ascii="Times New Roman" w:hAnsi="Times New Roman"/>
          <w:sz w:val="20"/>
          <w:szCs w:val="20"/>
        </w:rPr>
      </w:pPr>
    </w:p>
    <w:p w:rsidR="001E3F70" w:rsidRPr="00A52580" w:rsidRDefault="001E3F70" w:rsidP="00C302BA">
      <w:pPr>
        <w:spacing w:after="0"/>
        <w:rPr>
          <w:rFonts w:ascii="Times New Roman" w:hAnsi="Times New Roman"/>
          <w:sz w:val="24"/>
          <w:szCs w:val="24"/>
        </w:rPr>
      </w:pPr>
      <w:r>
        <w:rPr>
          <w:rFonts w:ascii="Times New Roman" w:hAnsi="Times New Roman"/>
          <w:sz w:val="20"/>
          <w:szCs w:val="20"/>
        </w:rPr>
        <w:t>Согласовано: Заместитель директора по УВР  _____________________________(________________________)Дата согласования</w:t>
      </w:r>
      <w:r>
        <w:rPr>
          <w:rFonts w:ascii="Times New Roman" w:hAnsi="Times New Roman"/>
          <w:bCs/>
          <w:sz w:val="20"/>
        </w:rPr>
        <w:t>«_______»____________________200___г.</w:t>
      </w:r>
    </w:p>
    <w:sectPr w:rsidR="001E3F70" w:rsidRPr="00A52580" w:rsidSect="001E3F70">
      <w:footerReference w:type="default" r:id="rId7"/>
      <w:footerReference w:type="first" r:id="rId8"/>
      <w:pgSz w:w="11906" w:h="16838"/>
      <w:pgMar w:top="851" w:right="851" w:bottom="142"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4A1" w:rsidRDefault="008E34A1" w:rsidP="00404E20">
      <w:pPr>
        <w:spacing w:after="0" w:line="240" w:lineRule="auto"/>
      </w:pPr>
      <w:r>
        <w:separator/>
      </w:r>
    </w:p>
  </w:endnote>
  <w:endnote w:type="continuationSeparator" w:id="1">
    <w:p w:rsidR="008E34A1" w:rsidRDefault="008E34A1" w:rsidP="00404E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28D" w:rsidRDefault="0086339F">
    <w:pPr>
      <w:pStyle w:val="a5"/>
      <w:jc w:val="right"/>
    </w:pPr>
    <w:fldSimple w:instr=" PAGE   \* MERGEFORMAT ">
      <w:r w:rsidR="00EF371C">
        <w:rPr>
          <w:noProof/>
        </w:rPr>
        <w:t>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28D" w:rsidRDefault="00D0728D">
    <w:pPr>
      <w:pStyle w:val="a5"/>
      <w:jc w:val="right"/>
    </w:pPr>
  </w:p>
  <w:p w:rsidR="00D0728D" w:rsidRPr="003A2DA5" w:rsidRDefault="00D0728D" w:rsidP="003A2DA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4A1" w:rsidRDefault="008E34A1" w:rsidP="00404E20">
      <w:pPr>
        <w:spacing w:after="0" w:line="240" w:lineRule="auto"/>
      </w:pPr>
      <w:r>
        <w:separator/>
      </w:r>
    </w:p>
  </w:footnote>
  <w:footnote w:type="continuationSeparator" w:id="1">
    <w:p w:rsidR="008E34A1" w:rsidRDefault="008E34A1" w:rsidP="00404E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A5357"/>
    <w:multiLevelType w:val="hybridMultilevel"/>
    <w:tmpl w:val="F71CAB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B263194"/>
    <w:multiLevelType w:val="multilevel"/>
    <w:tmpl w:val="246A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350D"/>
    <w:rsid w:val="0002624C"/>
    <w:rsid w:val="00026A42"/>
    <w:rsid w:val="0005511B"/>
    <w:rsid w:val="00074A92"/>
    <w:rsid w:val="00087CD7"/>
    <w:rsid w:val="00095D0A"/>
    <w:rsid w:val="00097061"/>
    <w:rsid w:val="000D0D8A"/>
    <w:rsid w:val="000D3022"/>
    <w:rsid w:val="00115B7D"/>
    <w:rsid w:val="001238A3"/>
    <w:rsid w:val="0015221E"/>
    <w:rsid w:val="001B3B78"/>
    <w:rsid w:val="001C046B"/>
    <w:rsid w:val="001C12BA"/>
    <w:rsid w:val="001D6D98"/>
    <w:rsid w:val="001E22C0"/>
    <w:rsid w:val="001E3F70"/>
    <w:rsid w:val="001E541B"/>
    <w:rsid w:val="001F350D"/>
    <w:rsid w:val="0027623B"/>
    <w:rsid w:val="002831E2"/>
    <w:rsid w:val="002864F0"/>
    <w:rsid w:val="002C13AA"/>
    <w:rsid w:val="002F5FA9"/>
    <w:rsid w:val="00330A80"/>
    <w:rsid w:val="003341E1"/>
    <w:rsid w:val="00341EDC"/>
    <w:rsid w:val="003A2DA5"/>
    <w:rsid w:val="003E4575"/>
    <w:rsid w:val="00404B21"/>
    <w:rsid w:val="00404E20"/>
    <w:rsid w:val="00406158"/>
    <w:rsid w:val="00474A01"/>
    <w:rsid w:val="004910D3"/>
    <w:rsid w:val="00494476"/>
    <w:rsid w:val="004A00E0"/>
    <w:rsid w:val="004A1910"/>
    <w:rsid w:val="004A52E9"/>
    <w:rsid w:val="0055572F"/>
    <w:rsid w:val="005C6D66"/>
    <w:rsid w:val="005D20C9"/>
    <w:rsid w:val="006040A3"/>
    <w:rsid w:val="00626146"/>
    <w:rsid w:val="006475A3"/>
    <w:rsid w:val="00665322"/>
    <w:rsid w:val="006D5D05"/>
    <w:rsid w:val="00760274"/>
    <w:rsid w:val="00763105"/>
    <w:rsid w:val="00776103"/>
    <w:rsid w:val="007A3745"/>
    <w:rsid w:val="008523A5"/>
    <w:rsid w:val="0086339F"/>
    <w:rsid w:val="0088089A"/>
    <w:rsid w:val="0088742A"/>
    <w:rsid w:val="008E34A1"/>
    <w:rsid w:val="008F0ED7"/>
    <w:rsid w:val="008F7058"/>
    <w:rsid w:val="00925404"/>
    <w:rsid w:val="0096126D"/>
    <w:rsid w:val="0097024B"/>
    <w:rsid w:val="009A7851"/>
    <w:rsid w:val="009D7669"/>
    <w:rsid w:val="009F33BF"/>
    <w:rsid w:val="00A168E7"/>
    <w:rsid w:val="00A52580"/>
    <w:rsid w:val="00A95CEF"/>
    <w:rsid w:val="00AB1D02"/>
    <w:rsid w:val="00B02C65"/>
    <w:rsid w:val="00B200DC"/>
    <w:rsid w:val="00B25D03"/>
    <w:rsid w:val="00B5499A"/>
    <w:rsid w:val="00BD06E7"/>
    <w:rsid w:val="00C302BA"/>
    <w:rsid w:val="00C75E96"/>
    <w:rsid w:val="00C81639"/>
    <w:rsid w:val="00C87FF8"/>
    <w:rsid w:val="00D02655"/>
    <w:rsid w:val="00D0728D"/>
    <w:rsid w:val="00D10031"/>
    <w:rsid w:val="00D7008E"/>
    <w:rsid w:val="00DA1F7E"/>
    <w:rsid w:val="00DD5283"/>
    <w:rsid w:val="00DD7502"/>
    <w:rsid w:val="00DF301F"/>
    <w:rsid w:val="00E264EF"/>
    <w:rsid w:val="00E4790D"/>
    <w:rsid w:val="00E75527"/>
    <w:rsid w:val="00EF371C"/>
    <w:rsid w:val="00F1126F"/>
    <w:rsid w:val="00F204A1"/>
    <w:rsid w:val="00F4108A"/>
    <w:rsid w:val="00F82196"/>
    <w:rsid w:val="00FB6DF0"/>
    <w:rsid w:val="00FD5815"/>
    <w:rsid w:val="00FE25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283"/>
    <w:pPr>
      <w:spacing w:after="200" w:line="276" w:lineRule="auto"/>
    </w:pPr>
    <w:rPr>
      <w:sz w:val="22"/>
      <w:szCs w:val="22"/>
      <w:lang w:eastAsia="en-US"/>
    </w:rPr>
  </w:style>
  <w:style w:type="paragraph" w:styleId="1">
    <w:name w:val="heading 1"/>
    <w:basedOn w:val="a"/>
    <w:link w:val="10"/>
    <w:uiPriority w:val="9"/>
    <w:qFormat/>
    <w:locked/>
    <w:rsid w:val="001E3F7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semiHidden/>
    <w:unhideWhenUsed/>
    <w:qFormat/>
    <w:locked/>
    <w:rsid w:val="001E3F7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404E20"/>
    <w:pPr>
      <w:tabs>
        <w:tab w:val="center" w:pos="4677"/>
        <w:tab w:val="right" w:pos="9355"/>
      </w:tabs>
    </w:pPr>
  </w:style>
  <w:style w:type="character" w:customStyle="1" w:styleId="a4">
    <w:name w:val="Верхний колонтитул Знак"/>
    <w:basedOn w:val="a0"/>
    <w:link w:val="a3"/>
    <w:uiPriority w:val="99"/>
    <w:semiHidden/>
    <w:locked/>
    <w:rsid w:val="00404E20"/>
    <w:rPr>
      <w:rFonts w:cs="Times New Roman"/>
      <w:sz w:val="22"/>
      <w:szCs w:val="22"/>
      <w:lang w:eastAsia="en-US"/>
    </w:rPr>
  </w:style>
  <w:style w:type="paragraph" w:styleId="a5">
    <w:name w:val="footer"/>
    <w:basedOn w:val="a"/>
    <w:link w:val="a6"/>
    <w:uiPriority w:val="99"/>
    <w:rsid w:val="00404E20"/>
    <w:pPr>
      <w:tabs>
        <w:tab w:val="center" w:pos="4677"/>
        <w:tab w:val="right" w:pos="9355"/>
      </w:tabs>
    </w:pPr>
  </w:style>
  <w:style w:type="character" w:customStyle="1" w:styleId="a6">
    <w:name w:val="Нижний колонтитул Знак"/>
    <w:basedOn w:val="a0"/>
    <w:link w:val="a5"/>
    <w:uiPriority w:val="99"/>
    <w:locked/>
    <w:rsid w:val="00404E20"/>
    <w:rPr>
      <w:rFonts w:cs="Times New Roman"/>
      <w:sz w:val="22"/>
      <w:szCs w:val="22"/>
      <w:lang w:eastAsia="en-US"/>
    </w:rPr>
  </w:style>
  <w:style w:type="paragraph" w:styleId="a7">
    <w:name w:val="Balloon Text"/>
    <w:basedOn w:val="a"/>
    <w:link w:val="a8"/>
    <w:uiPriority w:val="99"/>
    <w:semiHidden/>
    <w:rsid w:val="00404E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404E20"/>
    <w:rPr>
      <w:rFonts w:ascii="Tahoma" w:hAnsi="Tahoma" w:cs="Tahoma"/>
      <w:sz w:val="16"/>
      <w:szCs w:val="16"/>
      <w:lang w:eastAsia="en-US"/>
    </w:rPr>
  </w:style>
  <w:style w:type="character" w:customStyle="1" w:styleId="10">
    <w:name w:val="Заголовок 1 Знак"/>
    <w:basedOn w:val="a0"/>
    <w:link w:val="1"/>
    <w:uiPriority w:val="9"/>
    <w:rsid w:val="001E3F70"/>
    <w:rPr>
      <w:rFonts w:ascii="Times New Roman" w:eastAsia="Times New Roman" w:hAnsi="Times New Roman"/>
      <w:b/>
      <w:bCs/>
      <w:kern w:val="36"/>
      <w:sz w:val="48"/>
      <w:szCs w:val="48"/>
    </w:rPr>
  </w:style>
  <w:style w:type="character" w:customStyle="1" w:styleId="20">
    <w:name w:val="Заголовок 2 Знак"/>
    <w:basedOn w:val="a0"/>
    <w:link w:val="2"/>
    <w:uiPriority w:val="9"/>
    <w:semiHidden/>
    <w:rsid w:val="001E3F70"/>
    <w:rPr>
      <w:rFonts w:ascii="Times New Roman" w:eastAsia="Times New Roman" w:hAnsi="Times New Roman"/>
      <w:b/>
      <w:bCs/>
      <w:sz w:val="36"/>
      <w:szCs w:val="36"/>
    </w:rPr>
  </w:style>
  <w:style w:type="paragraph" w:styleId="a9">
    <w:name w:val="Body Text"/>
    <w:basedOn w:val="a"/>
    <w:link w:val="aa"/>
    <w:uiPriority w:val="99"/>
    <w:semiHidden/>
    <w:unhideWhenUsed/>
    <w:rsid w:val="001E3F70"/>
    <w:pPr>
      <w:spacing w:after="120"/>
    </w:pPr>
    <w:rPr>
      <w:rFonts w:eastAsia="Times New Roman"/>
      <w:lang w:eastAsia="ru-RU"/>
    </w:rPr>
  </w:style>
  <w:style w:type="character" w:customStyle="1" w:styleId="aa">
    <w:name w:val="Основной текст Знак"/>
    <w:basedOn w:val="a0"/>
    <w:link w:val="a9"/>
    <w:uiPriority w:val="99"/>
    <w:semiHidden/>
    <w:rsid w:val="001E3F70"/>
    <w:rPr>
      <w:rFonts w:ascii="Calibri" w:eastAsia="Times New Roman" w:hAnsi="Calibri" w:cs="Times New Roman"/>
    </w:rPr>
  </w:style>
  <w:style w:type="paragraph" w:styleId="ab">
    <w:name w:val="No Spacing"/>
    <w:uiPriority w:val="1"/>
    <w:qFormat/>
    <w:rsid w:val="001E3F70"/>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1121074812">
      <w:bodyDiv w:val="1"/>
      <w:marLeft w:val="0"/>
      <w:marRight w:val="0"/>
      <w:marTop w:val="0"/>
      <w:marBottom w:val="0"/>
      <w:divBdr>
        <w:top w:val="none" w:sz="0" w:space="0" w:color="auto"/>
        <w:left w:val="none" w:sz="0" w:space="0" w:color="auto"/>
        <w:bottom w:val="none" w:sz="0" w:space="0" w:color="auto"/>
        <w:right w:val="none" w:sz="0" w:space="0" w:color="auto"/>
      </w:divBdr>
    </w:div>
    <w:div w:id="1194996047">
      <w:marLeft w:val="0"/>
      <w:marRight w:val="0"/>
      <w:marTop w:val="0"/>
      <w:marBottom w:val="0"/>
      <w:divBdr>
        <w:top w:val="none" w:sz="0" w:space="0" w:color="auto"/>
        <w:left w:val="none" w:sz="0" w:space="0" w:color="auto"/>
        <w:bottom w:val="none" w:sz="0" w:space="0" w:color="auto"/>
        <w:right w:val="none" w:sz="0" w:space="0" w:color="auto"/>
      </w:divBdr>
    </w:div>
    <w:div w:id="1194996048">
      <w:marLeft w:val="0"/>
      <w:marRight w:val="0"/>
      <w:marTop w:val="0"/>
      <w:marBottom w:val="0"/>
      <w:divBdr>
        <w:top w:val="none" w:sz="0" w:space="0" w:color="auto"/>
        <w:left w:val="none" w:sz="0" w:space="0" w:color="auto"/>
        <w:bottom w:val="none" w:sz="0" w:space="0" w:color="auto"/>
        <w:right w:val="none" w:sz="0" w:space="0" w:color="auto"/>
      </w:divBdr>
    </w:div>
    <w:div w:id="155172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11</Pages>
  <Words>3743</Words>
  <Characters>21339</Characters>
  <Application>Microsoft Office Word</Application>
  <DocSecurity>0</DocSecurity>
  <Lines>177</Lines>
  <Paragraphs>50</Paragraphs>
  <ScaleCrop>false</ScaleCrop>
  <Company>Microsoft</Company>
  <LinksUpToDate>false</LinksUpToDate>
  <CharactersWithSpaces>25032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ucheb</dc:creator>
  <cp:keywords/>
  <dc:description/>
  <cp:lastModifiedBy>Пользователь Windows</cp:lastModifiedBy>
  <cp:revision>33</cp:revision>
  <cp:lastPrinted>2023-08-21T04:30:00Z</cp:lastPrinted>
  <dcterms:created xsi:type="dcterms:W3CDTF">2014-03-20T09:40:00Z</dcterms:created>
  <dcterms:modified xsi:type="dcterms:W3CDTF">2023-08-21T04:54:00Z</dcterms:modified>
</cp:coreProperties>
</file>