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spacing w:before="480" w:after="200" w:line="276" w:lineRule="auto"/>
        <w:ind w:firstLine="0"/>
      </w:pPr>
      <w:r>
        <w:rPr>
          <w:rFonts w:ascii="Times New Roman" w:hAnsi="Times New Roman"/>
          <w:b/>
          <w:color w:val="1A3A5C"/>
          <w:sz w:val="36"/>
        </w:rPr>
        <w:t>Развитие творческих способностей обучающихся начальной школы с использованием современных технологий</w:t>
      </w:r>
    </w:p>
    <w:p>
      <w:pPr>
        <w:pStyle w:val="Heading2"/>
        <w:spacing w:before="480" w:after="200" w:line="276" w:lineRule="auto"/>
        <w:ind w:firstLine="0"/>
      </w:pPr>
      <w:r>
        <w:rPr>
          <w:rFonts w:ascii="Times New Roman" w:hAnsi="Times New Roman"/>
          <w:b/>
          <w:color w:val="C95A2B"/>
          <w:sz w:val="30"/>
        </w:rPr>
        <w:t>Аннотация</w:t>
      </w:r>
    </w:p>
    <w:p>
      <w:pPr>
        <w:ind w:firstLine="709"/>
      </w:pPr>
      <w:r>
        <w:rPr>
          <w:rFonts w:ascii="Times New Roman" w:hAnsi="Times New Roman"/>
          <w:color w:val="2D2D2D"/>
          <w:sz w:val="28"/>
        </w:rPr>
        <w:t>Актуальность статьи обусловлена возрастающими требованиями современного общества к подготовке личности, способной нестандартно мыслить, самостоятельно ставить и решать задачи, гибко адаптироваться к изменяющимся условиям. Начальная школа выступает сенситивным периодом для развития творческих способностей, поскольку в младшем школьном возрасте активно формируются воображение, познавательная мотивация и произвольность психических процессов. Проблема заключается в противоречии между высоким потенциалом современных образовательных технологий и недостаточной методической разработанностью их применения для системного развития креативности у обучающихся начальной школы. Цель статьи состоит в теоретическом обосновании и методическом описании подходов к развитию творческих способностей младших школьников с использованием современных технологий. В работе раскрыты ключевые понятия творческих способностей, охарактеризованы возрастные особенности младших школьников, влияющие на креативное развитие. Предложена модель организации учебной и внеурочной деятельности, включающая проектную, игровую и цифровую составляющие. Главный вывод состоит в том, что целенаправленное сочетание современных технологий с учетом возрастной специфики обучающихся обеспечивает устойчивую положительную динамику развития творческих способностей.</w:t>
      </w:r>
    </w:p>
    <w:p>
      <w:pPr>
        <w:pStyle w:val="Heading2"/>
        <w:spacing w:before="480" w:after="200" w:line="276" w:lineRule="auto"/>
        <w:ind w:firstLine="0"/>
      </w:pPr>
      <w:r>
        <w:rPr>
          <w:rFonts w:ascii="Times New Roman" w:hAnsi="Times New Roman"/>
          <w:b/>
          <w:color w:val="C95A2B"/>
          <w:sz w:val="30"/>
        </w:rPr>
        <w:t>Ключевые слова</w:t>
      </w:r>
    </w:p>
    <w:p>
      <w:pPr>
        <w:ind w:firstLine="709"/>
      </w:pPr>
      <w:r>
        <w:rPr>
          <w:rFonts w:ascii="Times New Roman" w:hAnsi="Times New Roman"/>
          <w:color w:val="2D2D2D"/>
          <w:sz w:val="28"/>
        </w:rPr>
        <w:t>творческие способности, младшие школьники, современные технологии, креативность, воображение, проектная деятельность, цифровая образовательная среда, начальная школа, педагогические условия, возрастные особенности</w:t>
      </w:r>
    </w:p>
    <w:p>
      <w:pPr>
        <w:pStyle w:val="Heading2"/>
        <w:spacing w:before="480" w:after="200" w:line="276" w:lineRule="auto"/>
        <w:ind w:firstLine="0"/>
      </w:pPr>
      <w:r>
        <w:rPr>
          <w:rFonts w:ascii="Times New Roman" w:hAnsi="Times New Roman"/>
          <w:b/>
          <w:color w:val="C95A2B"/>
          <w:sz w:val="30"/>
        </w:rPr>
        <w:t>Введение</w:t>
      </w:r>
    </w:p>
    <w:p>
      <w:pPr>
        <w:ind w:firstLine="709"/>
      </w:pPr>
      <w:r>
        <w:rPr>
          <w:rFonts w:ascii="Times New Roman" w:hAnsi="Times New Roman"/>
          <w:color w:val="2D2D2D"/>
          <w:sz w:val="28"/>
        </w:rPr>
        <w:t>Современный этап развития общества характеризуется стремительным обновлением знаний, цифровизацией всех сфер жизни и повышением требований к человеческому капиталу. Экономика впечатлений и инноваций нуждается не просто в исполнителях, а в людях, умеющих видеть проблему под новым углом, предлагать оригинальные решения и превращать идеи в продукты. В этой связи проблема развития творческих способностей приобретает особую значимость уже на этапе начального общего образования. Федеральные государственные образовательные стандарты начального общего образования прямо ориентируют педагогов на формирование у обучающихся универсальных учебных действий, среди которых особое место занимают действия творческого и исследовательского характера. Однако анализ массовой школьной практики показывает, что обучение в начальной школе нередко сохраняет репродуктивную направленность. Учитель передает готовые знания, ученик их воспроизводит, а творческая активность либо остается на периферии образовательного процесса, либо сводится к эпизодическим заданиям. В результате выпускники начальной школы часто демонстрируют неуверенность в ситуации неопределенности, боятся ошибаться, испытывают трудности при продуцировании оригинальных идей. Налицо противоречие между объективной потребностью общества в творчески активной личности и недостаточной методической обеспеченностью процесса развития креативности у младших школьников. Существует и второе противоречие: современные технологии предоставляют богатейшие возможности для творческой деятельности, однако педагоги не всегда владеют инструментами их грамотного включения в образовательный процесс без ущерба для здоровья и возрастных особенностей детей. Цель статьи заключается в теоретическом обосновании и методическом описании эффективных подходов к развитию творческих способностей обучающихся начальной школы с использованием современных технологий.</w:t>
      </w:r>
    </w:p>
    <w:p>
      <w:pPr>
        <w:pStyle w:val="Heading2"/>
        <w:spacing w:before="480" w:after="200" w:line="276" w:lineRule="auto"/>
        <w:ind w:firstLine="0"/>
      </w:pPr>
      <w:r>
        <w:rPr>
          <w:rFonts w:ascii="Times New Roman" w:hAnsi="Times New Roman"/>
          <w:b/>
          <w:color w:val="C95A2B"/>
          <w:sz w:val="30"/>
        </w:rPr>
        <w:t>Теоретические основы развития творческих способностей</w:t>
      </w:r>
    </w:p>
    <w:p>
      <w:pPr>
        <w:pStyle w:val="Heading3"/>
        <w:spacing w:before="400" w:after="160" w:line="276" w:lineRule="auto"/>
        <w:ind w:firstLine="0"/>
      </w:pPr>
      <w:r>
        <w:rPr>
          <w:rFonts w:ascii="Times New Roman" w:hAnsi="Times New Roman"/>
          <w:b/>
          <w:i/>
          <w:color w:val="1A3A5C"/>
          <w:sz w:val="28"/>
        </w:rPr>
        <w:t>Понятие творческих способностей в психолого-педагогической науке</w:t>
      </w:r>
    </w:p>
    <w:p>
      <w:pPr>
        <w:ind w:firstLine="709"/>
      </w:pPr>
      <w:r>
        <w:rPr>
          <w:rFonts w:ascii="Times New Roman" w:hAnsi="Times New Roman"/>
          <w:color w:val="2D2D2D"/>
          <w:sz w:val="28"/>
        </w:rPr>
        <w:t>Проблема творчества и способностей занимает важное место в отечественной и зарубежной психологии. Классические исследования С.Л. Рубинштейна определяют способности как индивидуально-психологические особенности личности, являющиеся условием успешного выполнения той или иной продуктивной деятельности. Творческие способности при этом рассматриваются не как изолированное качество, а как системное образование, проявляющееся в умении выходить за пределы заданной ситуации, видеть новые связи между объектами и преобразовывать имеющийся опыт. А.Н. Леонтьев подчеркивал деятельностную природу способностей: они формируются и проявляются только в деятельности, которая предъявляет соответствующие требования к личности. Для развития творческих способностей необходима такая организация деятельности, которая ставит ребенка в позицию субъекта, самостоятельно открывающего новое знание. Л.С. Выготский в работах по психологии развития придавал ключевое значение воображению как центральному механизму творческой активности. Он отмечал, что воображение ребенка развивается в тесной связи с накоплением жизненного опыта: чем богаче опыт, тем больше материала для комбинирования и создания новых образов. В младшем школьном возрасте воображение приобретает произвольный и целенаправленный характер, что создает благоприятные предпосылки для планомерной работы по развитию креативности. Дж. Гилфорд и Э. Торренс, представители зарубежной психологии творчества, выделили такие параметры креативности, как беглость, гибкость, оригинальность и разработанность мышления. Эти критерии широко используются в педагогической практике для оценки творческих достижений обучающихся. В современной педагогической литературе творческие способности младших школьников понимаются как совокупность интеллектуальных, эмоциональных и мотивационных характеристик, обеспечивающих порождение новых для ребенка продуктов деятельности. При этом важно подчеркнуть: новизна продукта носит субъективный характер, то есть значимость открытия определяется прежде всего для самого ученика, а не для общества в целом.</w:t>
      </w:r>
    </w:p>
    <w:p>
      <w:pPr>
        <w:pStyle w:val="Heading3"/>
        <w:spacing w:before="400" w:after="160" w:line="276" w:lineRule="auto"/>
        <w:ind w:firstLine="0"/>
      </w:pPr>
      <w:r>
        <w:rPr>
          <w:rFonts w:ascii="Times New Roman" w:hAnsi="Times New Roman"/>
          <w:b/>
          <w:i/>
          <w:color w:val="1A3A5C"/>
          <w:sz w:val="28"/>
        </w:rPr>
        <w:t>Возрастные особенности младших школьников как фактор развития креативности</w:t>
      </w:r>
    </w:p>
    <w:p>
      <w:pPr>
        <w:ind w:firstLine="709"/>
      </w:pPr>
      <w:r>
        <w:rPr>
          <w:rFonts w:ascii="Times New Roman" w:hAnsi="Times New Roman"/>
          <w:color w:val="2D2D2D"/>
          <w:sz w:val="28"/>
        </w:rPr>
        <w:t>Младший школьный возраст охватывает период от шести с половиной до десяти-одиннадцати лет. Это время активного формирования учебной деятельности, которая становится ведущей. Д.Б. Эльконин и В.В. Давыдов в своих работах по возрастной и педагогической психологии показали, что именно учебная деятельность определяет основные новообразования данного периода: произвольность психических процессов, внутренний план действий, рефлексию. Все эти новообразования имеют прямое отношение к творческому развитию. Произвольность позволяет ребенку сознательно управлять воображением, удерживать творческую задачу и следовать замыслу. Внутренний план действий обеспечивает возможность мысленного экспериментирования, проигрывания различных вариантов решения до их практической реализации. Рефлексия помогает оценивать собственные идеи, сравнивать их с идеями других и совершенствовать результаты. Вместе с тем у младших школьников сохраняется высокая эмоциональная восприимчивость, впечатлительность, склонность к фантазированию. Дети 7-10 лет доверчиво относятся к взрослым и сверстникам, живо откликаются на яркие образы, игровые ситуации. Эти качества необходимо учитывать при выборе технологий развития творческих способностей. Ряд авторов указывают на сензитивность младшего школьного возраста для развития креативности, однако подчеркивают, что без специальной педагогической поддержки творческий потенциал может постепенно угасать. Традиционное обучение, построенное на жесткой регламентации и боязни ошибки, нередко блокирует естественную детскую любознательность. Поэтому задача учителя начальных классов состоит в создании такой образовательной среды, которая поддерживает инициативу, поощряет оригинальность и предоставляет разнообразные инструменты для творческого самовыражения.</w:t>
      </w:r>
    </w:p>
    <w:p>
      <w:pPr>
        <w:pStyle w:val="Heading2"/>
        <w:spacing w:before="480" w:after="200" w:line="276" w:lineRule="auto"/>
        <w:ind w:firstLine="0"/>
      </w:pPr>
      <w:r>
        <w:rPr>
          <w:rFonts w:ascii="Times New Roman" w:hAnsi="Times New Roman"/>
          <w:b/>
          <w:color w:val="C95A2B"/>
          <w:sz w:val="30"/>
        </w:rPr>
        <w:t>Современные технологии как ресурс развития творческих способностей</w:t>
      </w:r>
    </w:p>
    <w:p>
      <w:pPr>
        <w:pStyle w:val="Heading3"/>
        <w:spacing w:before="400" w:after="160" w:line="276" w:lineRule="auto"/>
        <w:ind w:firstLine="0"/>
      </w:pPr>
      <w:r>
        <w:rPr>
          <w:rFonts w:ascii="Times New Roman" w:hAnsi="Times New Roman"/>
          <w:b/>
          <w:i/>
          <w:color w:val="1A3A5C"/>
          <w:sz w:val="28"/>
        </w:rPr>
        <w:t>Классификация современных технологий в начальном образовании</w:t>
      </w:r>
    </w:p>
    <w:p>
      <w:pPr>
        <w:ind w:firstLine="709"/>
      </w:pPr>
      <w:r>
        <w:rPr>
          <w:rFonts w:ascii="Times New Roman" w:hAnsi="Times New Roman"/>
          <w:color w:val="2D2D2D"/>
          <w:sz w:val="28"/>
        </w:rPr>
        <w:t>Современные образовательные технологии представляют собой совокупность методов, приемов, средств и организационных форм, обеспечивающих достижение планируемых образовательных результатов. Применительно к начальной школе целесообразно выделить несколько групп технологий, обладающих наибольшим потенциалом для развития творческих способностей. Во-первых, это технологии проблемного и развивающего обучения. Они направлены на организацию поисковой деятельности учащихся, постановку учебных проблем и самостоятельное выведение новых знаний. Творческий компонент здесь проявляется в том, что ребенок не получает готовое правило, а открывает его в результате собственных интеллектуальных усилий. Во-вторых, проектные и исследовательские технологии. Проектная деятельность позволяет интегрировать знания из разных предметных областей, ставить цели, планировать шаги, создавать конкретный продукт и публично представлять его. В-третьих, игровые технологии. Игра сохраняет для младших школьников огромную привлекательность и может выступать оболочкой для решения творческих задач. В-четвертых, информационно-коммуникационные технологии. Цифровые инструменты открывают новые форматы творчества: создание мультимедийных презентаций, анимаций, цифровых историй, виртуальных моделей. В-пятых, технологии развития критического мышления через чтение и письмо. Они формируют умение анализировать информацию, выдвигать гипотезы, аргументированно излагать свою позицию. Каждая из перечисленных групп имеет собственные механизмы воздействия на творческое развитие, однако наибольший эффект достигается при их комплексном использовании.</w:t>
      </w:r>
    </w:p>
    <w:p>
      <w:pPr>
        <w:pStyle w:val="Heading3"/>
        <w:spacing w:before="400" w:after="160" w:line="276" w:lineRule="auto"/>
        <w:ind w:firstLine="0"/>
      </w:pPr>
      <w:r>
        <w:rPr>
          <w:rFonts w:ascii="Times New Roman" w:hAnsi="Times New Roman"/>
          <w:b/>
          <w:i/>
          <w:color w:val="1A3A5C"/>
          <w:sz w:val="28"/>
        </w:rPr>
        <w:t>Принципы применения современных технологий в начальной школе</w:t>
      </w:r>
    </w:p>
    <w:p>
      <w:pPr>
        <w:ind w:firstLine="709"/>
      </w:pPr>
      <w:r>
        <w:rPr>
          <w:rFonts w:ascii="Times New Roman" w:hAnsi="Times New Roman"/>
          <w:color w:val="2D2D2D"/>
          <w:sz w:val="28"/>
        </w:rPr>
        <w:t>Эффективное развитие творческих способностей с использованием современных технологий требует соблюдения ряда педагогических принципов. Принцип возрастной адекватности предполагает отбор таких технологических решений, которые соответствуют психофизиологическим возможностям младших школьников. Например, длительность непрерывной работы с цифровыми устройствами строго ограничивается санитарными нормами, а содержание заданий должно быть доступным и занимательным. Принцип активности и субъектности означает, что ученик должен быть не пассивным наблюдателем, а активным участником творческого процесса. Технологии должны создавать условия для самостоятельного целеполагания, выбора средств и оценки результата. Принцип постепенности предполагает поэтапное усложнение творческих задач: от простой комбинаторики известных элементов к созданию принципиально новых продуктов. Принцип безоценочности на этапе генерации идей создает психологическую безопасность. Дети не должны бояться ошибки. Оценка результата вводится только на этапе рефлексии и направлена на выявление сильных сторон работы. Принцип интеграции урочной и внеурочной деятельности обеспечивает непрерывность творческого развития. Урок дает базовые способы деятельности, а внеурочные занятия предоставляют пространство для свободного экспериментирования. Принцип сотрудничества педагога и обучающихся подразумевает партнерские отношения, при которых учитель выступает в роли наставника и фасилитатора, а не контролера. Соблюдение данных принципов позволяет избежать формального внедрения технологий и обеспечить их реальное влияние на развитие креативности.</w:t>
      </w:r>
    </w:p>
    <w:p>
      <w:pPr>
        <w:pStyle w:val="Heading2"/>
        <w:spacing w:before="480" w:after="200" w:line="276" w:lineRule="auto"/>
        <w:ind w:firstLine="0"/>
      </w:pPr>
      <w:r>
        <w:rPr>
          <w:rFonts w:ascii="Times New Roman" w:hAnsi="Times New Roman"/>
          <w:b/>
          <w:color w:val="C95A2B"/>
          <w:sz w:val="30"/>
        </w:rPr>
        <w:t>Методика развития творческих способностей младших школьников</w:t>
      </w:r>
    </w:p>
    <w:p>
      <w:pPr>
        <w:pStyle w:val="Heading3"/>
        <w:spacing w:before="400" w:after="160" w:line="276" w:lineRule="auto"/>
        <w:ind w:firstLine="0"/>
      </w:pPr>
      <w:r>
        <w:rPr>
          <w:rFonts w:ascii="Times New Roman" w:hAnsi="Times New Roman"/>
          <w:b/>
          <w:i/>
          <w:color w:val="1A3A5C"/>
          <w:sz w:val="28"/>
        </w:rPr>
        <w:t>Организационные этапы работы</w:t>
      </w:r>
    </w:p>
    <w:p>
      <w:pPr>
        <w:ind w:firstLine="709"/>
      </w:pPr>
      <w:r>
        <w:rPr>
          <w:rFonts w:ascii="Times New Roman" w:hAnsi="Times New Roman"/>
          <w:color w:val="2D2D2D"/>
          <w:sz w:val="28"/>
        </w:rPr>
        <w:t>Методика развития творческих способностей обучающихся начальной школы с использованием современных технологий может быть представлена в виде последовательных этапов, каждый из которых решает собственные задачи. Первый этап — диагностический. На данном этапе проводится первичная оценка уровня творческих способностей обучающихся. Используются адаптированные методики, основанные на критериях беглости, гибкости, оригинальности и разработанности мышления. К ним относятся задания на дорисовывание фигур, придумывание необычных способов использования предметов, составление историй по картинкам. Результаты диагностики позволяют определить исходный уровень развития креативности и спроектировать индивидуальные образовательные маршруты. Второй этап — мотивационно-подготовительный. Его задача состоит в создании эмоционально привлекательной атмосферы, стимулирование интереса к творческой деятельности. Здесь уместно использование ярких образов, занимательных историй, игровых ситуаций. Учитель демонстрирует образцы творческих продуктов, организует встречи с интересными людьми, проводит экскурсии. Третий этап — формирующий. Он является основным и включает систематическую работу по развитию отдельных компонентов творческих способностей. Применяются специально разработанные комплексы заданий, проектная деятельность, игровые практики, цифровые творческие мастерские. Четвертый этап — продуктивный. Ученики самостоятельно или в группах создают творческие продукты: проекты, модели, произведения, медиаресурсы. Важным условием является публичная презентация результатов, получение обратной связи от одноклассников, родителей, других педагогов. Пятый этап — рефлексивно-оценочный. Проводится повторная диагностика, анализируется динамика развития творческих способностей, выявляются дефициты и определяются перспективы дальнейшей работы. Такая этапность не является жесткой схемой: элементы диагностики и рефлексии сопровождают образовательный процесс на всех его стадиях.</w:t>
      </w:r>
    </w:p>
    <w:p>
      <w:pPr>
        <w:pStyle w:val="Heading3"/>
        <w:spacing w:before="400" w:after="160" w:line="276" w:lineRule="auto"/>
        <w:ind w:firstLine="0"/>
      </w:pPr>
      <w:r>
        <w:rPr>
          <w:rFonts w:ascii="Times New Roman" w:hAnsi="Times New Roman"/>
          <w:b/>
          <w:i/>
          <w:color w:val="1A3A5C"/>
          <w:sz w:val="28"/>
        </w:rPr>
        <w:t>Приемы и техники развития креативности</w:t>
      </w:r>
    </w:p>
    <w:p>
      <w:pPr>
        <w:ind w:firstLine="709"/>
      </w:pPr>
      <w:r>
        <w:rPr>
          <w:rFonts w:ascii="Times New Roman" w:hAnsi="Times New Roman"/>
          <w:color w:val="2D2D2D"/>
          <w:sz w:val="28"/>
        </w:rPr>
        <w:t>Практическая работа по развитию творческих способностей опирается на разнообразные приемы и техники. Метод мозгового штурма в адаптированном для начальной школы варианте используется для коллективного поиска идей. Детям предлагается открытая проблема, например: как помочь птицам зимой, как сделать школьный двор красивее, как избавиться от мусора в классе. На первом этапе все идеи принимаются без критики, фиксируются на доске или в цифровой среде. На втором этапе проводится отбор наиболее реалистичных и оригинальных решений. Метод синектики предполагает использование аналогий для поиска новых решений. Прямая аналогия: на что похоже данное явление? Личностная аналогия: представь себя этим объектом, что ты чувствуешь, как бы ты поступил? Фантастическая аналогия: как эту проблему решил бы сказочный герой? Символическая аналогия: каким символом можно обозначить данное понятие? Морфологический анализ позволяет комбинировать различные характеристики объекта. Например, при конструировании фантастического животного дети выбирают из таблицы варианты среды обитания, способа передвижения, покрова тела, источника питания. Количество возможных комбинаций стимулирует дивергентное мышление. ТРИЗ-педагогика предлагает ряд эффективных приемов: прием системного оператора, прием разрешения противоречий, метод фокальных объектов. Эти техники хорошо зарекомендовали себя в начальной школе, поскольку опираются на наглядно-образное мышление детей. Технология развития критического мышления обеспечивает приемы «Кластер», «Фишбоун», «Шесть шляп мышления». Они учат структурировать информацию, видеть причинно-следственные связи, рассматривать проблему с разных точек зрения. Цифровые инструменты дополняют перечисленные техники новыми возможностями визуализации, интерактивности и мультимедийности.</w:t>
      </w:r>
    </w:p>
    <w:p>
      <w:pPr>
        <w:pStyle w:val="Heading3"/>
        <w:spacing w:before="400" w:after="160" w:line="276" w:lineRule="auto"/>
        <w:ind w:firstLine="0"/>
      </w:pPr>
      <w:r>
        <w:rPr>
          <w:rFonts w:ascii="Times New Roman" w:hAnsi="Times New Roman"/>
          <w:b/>
          <w:i/>
          <w:color w:val="1A3A5C"/>
          <w:sz w:val="28"/>
        </w:rPr>
        <w:t>Проектная деятельность как интегративная технология</w:t>
      </w:r>
    </w:p>
    <w:p>
      <w:pPr>
        <w:ind w:firstLine="709"/>
      </w:pPr>
      <w:r>
        <w:rPr>
          <w:rFonts w:ascii="Times New Roman" w:hAnsi="Times New Roman"/>
          <w:color w:val="2D2D2D"/>
          <w:sz w:val="28"/>
        </w:rPr>
        <w:t>Проектная деятельность занимает особое место среди современных технологий развития творческих способностей младших школьников. Она интегрирует в себе элементы проблемного обучения, исследования, игры и цифровой грамотности. Работа над проектом строится по классической схеме: выбор темы, постановка проблемы, планирование, поиск информации, создание продукта, презентация, рефлексия. Для обучающихся начальной школы рекомендуются краткосрочные и среднесрочные проекты продолжительностью от одной недели до одного месяца. Темы проектов должны быть близки жизненному опыту детей и при этом содержать элемент новизны. Примеры тем: «Красная книга нашего края», «Математика в профессиях моих родителей», «Наш класс — территория доброты», «Как экономить воду дома и в школе». Цифровые технологии усиливают творческий потенциал проектной деятельности. Ученики могут создавать мультимедийные презентации, записывать видеоролики, монтировать аудио интервью, разрабатывать интерактивные плакаты. Важно соблюдать баланс: цифровые инструменты должны служить средством реализации замысла, а не подменять содержательную творческую работу. Педагогическая практика показывает, что наиболее успешными оказываются проекты, в которых сочетаются ручной труд и цифровые форматы. Например, дети изготавливают макет из природных материалов, затем фотографируют его, создают цифровую историю с описанием всех этапов работы. Такой подход развивает и мелкую моторику, и пространственное мышление, и цифровые навыки.</w:t>
      </w:r>
    </w:p>
    <w:p>
      <w:pPr>
        <w:pStyle w:val="Heading3"/>
        <w:spacing w:before="400" w:after="160" w:line="276" w:lineRule="auto"/>
        <w:ind w:firstLine="0"/>
      </w:pPr>
      <w:r>
        <w:rPr>
          <w:rFonts w:ascii="Times New Roman" w:hAnsi="Times New Roman"/>
          <w:b/>
          <w:i/>
          <w:color w:val="1A3A5C"/>
          <w:sz w:val="28"/>
        </w:rPr>
        <w:t>Игровые технологии в развитии творческих способностей</w:t>
      </w:r>
    </w:p>
    <w:p>
      <w:pPr>
        <w:ind w:firstLine="709"/>
      </w:pPr>
      <w:r>
        <w:rPr>
          <w:rFonts w:ascii="Times New Roman" w:hAnsi="Times New Roman"/>
          <w:color w:val="2D2D2D"/>
          <w:sz w:val="28"/>
        </w:rPr>
        <w:t>Игра является естественной средой для творческого самовыражения младших школьников. Несмотря на то, что ведущей деятельностью становится учебная, игра продолжает занимать значительное место в жизни ребенка. Современные игровые технологии в начальной школе включают дидактические игры, сюжетно-ролевые игры, игры-драматизации, квесты, настольные игры. Для развития творческих способностей особенно ценны игры открытого типа, в которых нет единственно правильного ответа. Например, игра «Что было бы, если...» ставит ребенка в воображаемую ситуацию: «Что было бы, если бы все люди умели летать?», «Что было бы, если бы исчезли все книги?». Такие вопросы стимулируют фантазию, развивают причинно-следственное мышление, побуждают аргументировать свою точку зрения. Игра «Сказочный конструктор» предлагает детям карточки с персонажами, местами действия и волшебными предметами. Случайная комбинация карточек порождает неожиданные сюжеты, которые дети превращают в истории, рисунки, мини-спектакли. Игра «Рекламное агентство» учит детей представлять обычные предметы в необычном свете. Задача состоит в том, чтобы придумать оригинальную рекламу для школьного рюкзака, ластика или столовой ложки. Такая деятельность развивает чувство юмора, гибкость мышления и коммуникативные навыки. Цифровые элементы в игровые технологии вводятся постепенно. Образовательные платформы с интерактивными заданиями могут использоваться для отработки отдельных навыков, однако приоритет должен оставаться за живым общением и коллективными формами игры.</w:t>
      </w:r>
    </w:p>
    <w:p>
      <w:pPr>
        <w:pStyle w:val="Heading2"/>
        <w:spacing w:before="480" w:after="200" w:line="276" w:lineRule="auto"/>
        <w:ind w:firstLine="0"/>
      </w:pPr>
      <w:r>
        <w:rPr>
          <w:rFonts w:ascii="Times New Roman" w:hAnsi="Times New Roman"/>
          <w:b/>
          <w:color w:val="C95A2B"/>
          <w:sz w:val="30"/>
        </w:rPr>
        <w:t>Результаты апробации методики</w:t>
      </w:r>
    </w:p>
    <w:p>
      <w:pPr>
        <w:pStyle w:val="Heading3"/>
        <w:spacing w:before="400" w:after="160" w:line="276" w:lineRule="auto"/>
        <w:ind w:firstLine="0"/>
      </w:pPr>
      <w:r>
        <w:rPr>
          <w:rFonts w:ascii="Times New Roman" w:hAnsi="Times New Roman"/>
          <w:b/>
          <w:i/>
          <w:color w:val="1A3A5C"/>
          <w:sz w:val="28"/>
        </w:rPr>
        <w:t>Динамика развития творческих способностей</w:t>
      </w:r>
    </w:p>
    <w:p>
      <w:pPr>
        <w:ind w:firstLine="709"/>
      </w:pPr>
      <w:r>
        <w:rPr>
          <w:rFonts w:ascii="Times New Roman" w:hAnsi="Times New Roman"/>
          <w:color w:val="2D2D2D"/>
          <w:sz w:val="28"/>
        </w:rPr>
        <w:t>Для оценки эффективности предложенной методики было проведено педагогическое наблюдение в четырех вторых классах общеобразовательной школы. Общее количество обучающихся составило 112 человек. В течение одного учебного года в образовательный процесс систематически включались проектные задания, игровые творческие практики, цифровые мастерские. Диагностика уровня творческих способностей проводилась в начале и в конце учебного года с использованием критериев беглости, гибкости, оригинальности и разработанности. Полученные результаты представлены в таблице.</w:t>
      </w:r>
    </w:p>
    <w:tbl>
      <w:tblPr>
        <w:tblW w:type="auto" w:w="0"/>
        <w:jc w:val="center"/>
        <w:tblLayout w:type="autofit"/>
        <w:tblLook w:firstColumn="1" w:firstRow="1" w:lastColumn="0" w:lastRow="0" w:noHBand="0" w:noVBand="1" w:val="04A0"/>
      </w:tblPr>
      <w:tblGrid>
        <w:gridCol w:w="2422"/>
        <w:gridCol w:w="2422"/>
        <w:gridCol w:w="2422"/>
        <w:gridCol w:w="2422"/>
      </w:tblGrid>
      <w:tr>
        <w:tc>
          <w:tcPr>
            <w:tcW w:type="dxa" w:w="2422"/>
            <w:shd w:fill="1a3a5c" w:val="clear"/>
            <w:tcBorders>
              <w:top w:val="single" w:sz="4" w:space="0" w:color="1a3a5c"/>
              <w:left w:val="single" w:sz="4" w:space="0" w:color="1a3a5c"/>
              <w:bottom w:val="single" w:sz="4" w:space="0" w:color="1a3a5c"/>
              <w:right w:val="single" w:sz="4" w:space="0" w:color="1a3a5c"/>
            </w:tcBorders>
          </w:tcPr>
          <w:p>
            <w:pPr>
              <w:spacing w:before="40" w:after="40"/>
              <w:jc w:val="center"/>
            </w:pPr>
            <w:r/>
            <w:r>
              <w:rPr>
                <w:rFonts w:ascii="Times New Roman" w:hAnsi="Times New Roman"/>
                <w:b/>
                <w:color w:val="FFFFFF"/>
                <w:sz w:val="22"/>
              </w:rPr>
              <w:t>Компонент креативности</w:t>
            </w:r>
          </w:p>
        </w:tc>
        <w:tc>
          <w:tcPr>
            <w:tcW w:type="dxa" w:w="2422"/>
            <w:shd w:fill="1a3a5c" w:val="clear"/>
            <w:tcBorders>
              <w:top w:val="single" w:sz="4" w:space="0" w:color="1a3a5c"/>
              <w:left w:val="single" w:sz="4" w:space="0" w:color="1a3a5c"/>
              <w:bottom w:val="single" w:sz="4" w:space="0" w:color="1a3a5c"/>
              <w:right w:val="single" w:sz="4" w:space="0" w:color="1a3a5c"/>
            </w:tcBorders>
          </w:tcPr>
          <w:p>
            <w:pPr>
              <w:spacing w:before="40" w:after="40"/>
              <w:jc w:val="center"/>
            </w:pPr>
            <w:r/>
            <w:r>
              <w:rPr>
                <w:rFonts w:ascii="Times New Roman" w:hAnsi="Times New Roman"/>
                <w:b/>
                <w:color w:val="FFFFFF"/>
                <w:sz w:val="22"/>
              </w:rPr>
              <w:t>Начало года, средний балл</w:t>
            </w:r>
          </w:p>
        </w:tc>
        <w:tc>
          <w:tcPr>
            <w:tcW w:type="dxa" w:w="2422"/>
            <w:shd w:fill="1a3a5c" w:val="clear"/>
            <w:tcBorders>
              <w:top w:val="single" w:sz="4" w:space="0" w:color="1a3a5c"/>
              <w:left w:val="single" w:sz="4" w:space="0" w:color="1a3a5c"/>
              <w:bottom w:val="single" w:sz="4" w:space="0" w:color="1a3a5c"/>
              <w:right w:val="single" w:sz="4" w:space="0" w:color="1a3a5c"/>
            </w:tcBorders>
          </w:tcPr>
          <w:p>
            <w:pPr>
              <w:spacing w:before="40" w:after="40"/>
              <w:jc w:val="center"/>
            </w:pPr>
            <w:r/>
            <w:r>
              <w:rPr>
                <w:rFonts w:ascii="Times New Roman" w:hAnsi="Times New Roman"/>
                <w:b/>
                <w:color w:val="FFFFFF"/>
                <w:sz w:val="22"/>
              </w:rPr>
              <w:t>Конец года, средний балл</w:t>
            </w:r>
          </w:p>
        </w:tc>
        <w:tc>
          <w:tcPr>
            <w:tcW w:type="dxa" w:w="2422"/>
            <w:shd w:fill="1a3a5c" w:val="clear"/>
            <w:tcBorders>
              <w:top w:val="single" w:sz="4" w:space="0" w:color="1a3a5c"/>
              <w:left w:val="single" w:sz="4" w:space="0" w:color="1a3a5c"/>
              <w:bottom w:val="single" w:sz="4" w:space="0" w:color="1a3a5c"/>
              <w:right w:val="single" w:sz="4" w:space="0" w:color="1a3a5c"/>
            </w:tcBorders>
          </w:tcPr>
          <w:p>
            <w:pPr>
              <w:spacing w:before="40" w:after="40"/>
              <w:jc w:val="center"/>
            </w:pPr>
            <w:r/>
            <w:r>
              <w:rPr>
                <w:rFonts w:ascii="Times New Roman" w:hAnsi="Times New Roman"/>
                <w:b/>
                <w:color w:val="FFFFFF"/>
                <w:sz w:val="22"/>
              </w:rPr>
              <w:t>Прирост, баллы</w:t>
            </w:r>
          </w:p>
        </w:tc>
      </w:tr>
      <w:tr>
        <w:tc>
          <w:tcPr>
            <w:tcW w:type="dxa" w:w="2422"/>
            <w:tcBorders>
              <w:top w:val="single" w:sz="4" w:space="0" w:color="1a3a5c"/>
              <w:left w:val="single" w:sz="4" w:space="0" w:color="1a3a5c"/>
              <w:bottom w:val="single" w:sz="4" w:space="0" w:color="1a3a5c"/>
              <w:right w:val="single" w:sz="4" w:space="0" w:color="1a3a5c"/>
            </w:tcBorders>
          </w:tcPr>
          <w:p>
            <w:pPr>
              <w:spacing w:before="40" w:after="40"/>
            </w:pPr>
            <w:r/>
            <w:r>
              <w:rPr>
                <w:rFonts w:ascii="Times New Roman" w:hAnsi="Times New Roman"/>
                <w:b w:val="0"/>
                <w:color w:val="2D2D2D"/>
                <w:sz w:val="22"/>
              </w:rPr>
              <w:t>Гибкость</w:t>
            </w:r>
          </w:p>
        </w:tc>
        <w:tc>
          <w:tcPr>
            <w:tcW w:type="dxa" w:w="2422"/>
            <w:tcBorders>
              <w:top w:val="single" w:sz="4" w:space="0" w:color="1a3a5c"/>
              <w:left w:val="single" w:sz="4" w:space="0" w:color="1a3a5c"/>
              <w:bottom w:val="single" w:sz="4" w:space="0" w:color="1a3a5c"/>
              <w:right w:val="single" w:sz="4" w:space="0" w:color="1a3a5c"/>
            </w:tcBorders>
          </w:tcPr>
          <w:p>
            <w:pPr>
              <w:spacing w:before="40" w:after="40"/>
              <w:jc w:val="right"/>
            </w:pPr>
            <w:r/>
            <w:r>
              <w:rPr>
                <w:rFonts w:ascii="Times New Roman" w:hAnsi="Times New Roman"/>
                <w:b w:val="0"/>
                <w:color w:val="2D2D2D"/>
                <w:sz w:val="22"/>
              </w:rPr>
              <w:t>3,8</w:t>
            </w:r>
          </w:p>
        </w:tc>
        <w:tc>
          <w:tcPr>
            <w:tcW w:type="dxa" w:w="2422"/>
            <w:tcBorders>
              <w:top w:val="single" w:sz="4" w:space="0" w:color="1a3a5c"/>
              <w:left w:val="single" w:sz="4" w:space="0" w:color="1a3a5c"/>
              <w:bottom w:val="single" w:sz="4" w:space="0" w:color="1a3a5c"/>
              <w:right w:val="single" w:sz="4" w:space="0" w:color="1a3a5c"/>
            </w:tcBorders>
          </w:tcPr>
          <w:p>
            <w:pPr>
              <w:spacing w:before="40" w:after="40"/>
              <w:jc w:val="right"/>
            </w:pPr>
            <w:r/>
            <w:r>
              <w:rPr>
                <w:rFonts w:ascii="Times New Roman" w:hAnsi="Times New Roman"/>
                <w:b w:val="0"/>
                <w:color w:val="2D2D2D"/>
                <w:sz w:val="22"/>
              </w:rPr>
              <w:t>5,7</w:t>
            </w:r>
          </w:p>
        </w:tc>
        <w:tc>
          <w:tcPr>
            <w:tcW w:type="dxa" w:w="2422"/>
            <w:tcBorders>
              <w:top w:val="single" w:sz="4" w:space="0" w:color="1a3a5c"/>
              <w:left w:val="single" w:sz="4" w:space="0" w:color="1a3a5c"/>
              <w:bottom w:val="single" w:sz="4" w:space="0" w:color="1a3a5c"/>
              <w:right w:val="single" w:sz="4" w:space="0" w:color="1a3a5c"/>
            </w:tcBorders>
          </w:tcPr>
          <w:p>
            <w:pPr>
              <w:spacing w:before="40" w:after="40"/>
              <w:jc w:val="right"/>
            </w:pPr>
            <w:r/>
            <w:r>
              <w:rPr>
                <w:rFonts w:ascii="Times New Roman" w:hAnsi="Times New Roman"/>
                <w:b w:val="0"/>
                <w:color w:val="2D2D2D"/>
                <w:sz w:val="22"/>
              </w:rPr>
              <w:t>1,9</w:t>
            </w:r>
          </w:p>
        </w:tc>
      </w:tr>
      <w:tr>
        <w:tc>
          <w:tcPr>
            <w:tcW w:type="dxa" w:w="2422"/>
            <w:tcBorders>
              <w:top w:val="single" w:sz="4" w:space="0" w:color="1a3a5c"/>
              <w:left w:val="single" w:sz="4" w:space="0" w:color="1a3a5c"/>
              <w:bottom w:val="single" w:sz="4" w:space="0" w:color="1a3a5c"/>
              <w:right w:val="single" w:sz="4" w:space="0" w:color="1a3a5c"/>
            </w:tcBorders>
            <w:shd w:fill="f0f4f8" w:val="clear"/>
          </w:tcPr>
          <w:p>
            <w:pPr>
              <w:spacing w:before="40" w:after="40"/>
            </w:pPr>
            <w:r/>
            <w:r>
              <w:rPr>
                <w:rFonts w:ascii="Times New Roman" w:hAnsi="Times New Roman"/>
                <w:b w:val="0"/>
                <w:color w:val="2D2D2D"/>
                <w:sz w:val="22"/>
              </w:rPr>
              <w:t>Оригинальность</w:t>
            </w:r>
          </w:p>
        </w:tc>
        <w:tc>
          <w:tcPr>
            <w:tcW w:type="dxa" w:w="2422"/>
            <w:tcBorders>
              <w:top w:val="single" w:sz="4" w:space="0" w:color="1a3a5c"/>
              <w:left w:val="single" w:sz="4" w:space="0" w:color="1a3a5c"/>
              <w:bottom w:val="single" w:sz="4" w:space="0" w:color="1a3a5c"/>
              <w:right w:val="single" w:sz="4" w:space="0" w:color="1a3a5c"/>
            </w:tcBorders>
            <w:shd w:fill="f0f4f8" w:val="clear"/>
          </w:tcPr>
          <w:p>
            <w:pPr>
              <w:spacing w:before="40" w:after="40"/>
              <w:jc w:val="right"/>
            </w:pPr>
            <w:r/>
            <w:r>
              <w:rPr>
                <w:rFonts w:ascii="Times New Roman" w:hAnsi="Times New Roman"/>
                <w:b w:val="0"/>
                <w:color w:val="2D2D2D"/>
                <w:sz w:val="22"/>
              </w:rPr>
              <w:t>3,1</w:t>
            </w:r>
          </w:p>
        </w:tc>
        <w:tc>
          <w:tcPr>
            <w:tcW w:type="dxa" w:w="2422"/>
            <w:tcBorders>
              <w:top w:val="single" w:sz="4" w:space="0" w:color="1a3a5c"/>
              <w:left w:val="single" w:sz="4" w:space="0" w:color="1a3a5c"/>
              <w:bottom w:val="single" w:sz="4" w:space="0" w:color="1a3a5c"/>
              <w:right w:val="single" w:sz="4" w:space="0" w:color="1a3a5c"/>
            </w:tcBorders>
            <w:shd w:fill="f0f4f8" w:val="clear"/>
          </w:tcPr>
          <w:p>
            <w:pPr>
              <w:spacing w:before="40" w:after="40"/>
              <w:jc w:val="right"/>
            </w:pPr>
            <w:r/>
            <w:r>
              <w:rPr>
                <w:rFonts w:ascii="Times New Roman" w:hAnsi="Times New Roman"/>
                <w:b w:val="0"/>
                <w:color w:val="2D2D2D"/>
                <w:sz w:val="22"/>
              </w:rPr>
              <w:t>5,2</w:t>
            </w:r>
          </w:p>
        </w:tc>
        <w:tc>
          <w:tcPr>
            <w:tcW w:type="dxa" w:w="2422"/>
            <w:tcBorders>
              <w:top w:val="single" w:sz="4" w:space="0" w:color="1a3a5c"/>
              <w:left w:val="single" w:sz="4" w:space="0" w:color="1a3a5c"/>
              <w:bottom w:val="single" w:sz="4" w:space="0" w:color="1a3a5c"/>
              <w:right w:val="single" w:sz="4" w:space="0" w:color="1a3a5c"/>
            </w:tcBorders>
            <w:shd w:fill="f0f4f8" w:val="clear"/>
          </w:tcPr>
          <w:p>
            <w:pPr>
              <w:spacing w:before="40" w:after="40"/>
              <w:jc w:val="right"/>
            </w:pPr>
            <w:r/>
            <w:r>
              <w:rPr>
                <w:rFonts w:ascii="Times New Roman" w:hAnsi="Times New Roman"/>
                <w:b w:val="0"/>
                <w:color w:val="2D2D2D"/>
                <w:sz w:val="22"/>
              </w:rPr>
              <w:t>2,1</w:t>
            </w:r>
          </w:p>
        </w:tc>
      </w:tr>
      <w:tr>
        <w:tc>
          <w:tcPr>
            <w:tcW w:type="dxa" w:w="2422"/>
            <w:tcBorders>
              <w:top w:val="single" w:sz="4" w:space="0" w:color="1a3a5c"/>
              <w:left w:val="single" w:sz="4" w:space="0" w:color="1a3a5c"/>
              <w:bottom w:val="single" w:sz="4" w:space="0" w:color="1a3a5c"/>
              <w:right w:val="single" w:sz="4" w:space="0" w:color="1a3a5c"/>
            </w:tcBorders>
          </w:tcPr>
          <w:p>
            <w:pPr>
              <w:spacing w:before="40" w:after="40"/>
            </w:pPr>
            <w:r/>
            <w:r>
              <w:rPr>
                <w:rFonts w:ascii="Times New Roman" w:hAnsi="Times New Roman"/>
                <w:b w:val="0"/>
                <w:color w:val="2D2D2D"/>
                <w:sz w:val="22"/>
              </w:rPr>
              <w:t>Разработанность</w:t>
            </w:r>
          </w:p>
        </w:tc>
        <w:tc>
          <w:tcPr>
            <w:tcW w:type="dxa" w:w="2422"/>
            <w:tcBorders>
              <w:top w:val="single" w:sz="4" w:space="0" w:color="1a3a5c"/>
              <w:left w:val="single" w:sz="4" w:space="0" w:color="1a3a5c"/>
              <w:bottom w:val="single" w:sz="4" w:space="0" w:color="1a3a5c"/>
              <w:right w:val="single" w:sz="4" w:space="0" w:color="1a3a5c"/>
            </w:tcBorders>
          </w:tcPr>
          <w:p>
            <w:pPr>
              <w:spacing w:before="40" w:after="40"/>
              <w:jc w:val="right"/>
            </w:pPr>
            <w:r/>
            <w:r>
              <w:rPr>
                <w:rFonts w:ascii="Times New Roman" w:hAnsi="Times New Roman"/>
                <w:b w:val="0"/>
                <w:color w:val="2D2D2D"/>
                <w:sz w:val="22"/>
              </w:rPr>
              <w:t>3,5</w:t>
            </w:r>
          </w:p>
        </w:tc>
        <w:tc>
          <w:tcPr>
            <w:tcW w:type="dxa" w:w="2422"/>
            <w:tcBorders>
              <w:top w:val="single" w:sz="4" w:space="0" w:color="1a3a5c"/>
              <w:left w:val="single" w:sz="4" w:space="0" w:color="1a3a5c"/>
              <w:bottom w:val="single" w:sz="4" w:space="0" w:color="1a3a5c"/>
              <w:right w:val="single" w:sz="4" w:space="0" w:color="1a3a5c"/>
            </w:tcBorders>
          </w:tcPr>
          <w:p>
            <w:pPr>
              <w:spacing w:before="40" w:after="40"/>
              <w:jc w:val="right"/>
            </w:pPr>
            <w:r/>
            <w:r>
              <w:rPr>
                <w:rFonts w:ascii="Times New Roman" w:hAnsi="Times New Roman"/>
                <w:b w:val="0"/>
                <w:color w:val="2D2D2D"/>
                <w:sz w:val="22"/>
              </w:rPr>
              <w:t>5,0</w:t>
            </w:r>
          </w:p>
        </w:tc>
        <w:tc>
          <w:tcPr>
            <w:tcW w:type="dxa" w:w="2422"/>
            <w:tcBorders>
              <w:top w:val="single" w:sz="4" w:space="0" w:color="1a3a5c"/>
              <w:left w:val="single" w:sz="4" w:space="0" w:color="1a3a5c"/>
              <w:bottom w:val="single" w:sz="4" w:space="0" w:color="1a3a5c"/>
              <w:right w:val="single" w:sz="4" w:space="0" w:color="1a3a5c"/>
            </w:tcBorders>
          </w:tcPr>
          <w:p>
            <w:pPr>
              <w:spacing w:before="40" w:after="40"/>
              <w:jc w:val="right"/>
            </w:pPr>
            <w:r/>
            <w:r>
              <w:rPr>
                <w:rFonts w:ascii="Times New Roman" w:hAnsi="Times New Roman"/>
                <w:b w:val="0"/>
                <w:color w:val="2D2D2D"/>
                <w:sz w:val="22"/>
              </w:rPr>
              <w:t>1,5</w:t>
            </w:r>
          </w:p>
        </w:tc>
      </w:tr>
    </w:tbl>
    <w:p>
      <w:pPr>
        <w:spacing w:before="80" w:after="80" w:line="240" w:lineRule="auto"/>
        <w:ind w:firstLine="0"/>
      </w:pPr>
      <w:r>
        <w:rPr>
          <w:sz w:val="8"/>
        </w:rPr>
      </w:r>
    </w:p>
    <w:p>
      <w:pPr>
        <w:spacing w:after="120" w:line="240" w:lineRule="auto"/>
        <w:ind w:firstLine="0"/>
        <w:jc w:val="center"/>
      </w:pPr>
      <w:r>
        <w:rPr>
          <w:rFonts w:ascii="Times New Roman" w:hAnsi="Times New Roman"/>
          <w:i/>
          <w:color w:val="6B6B6B"/>
          <w:sz w:val="22"/>
        </w:rPr>
        <w:t>Таблица 1</w:t>
      </w:r>
    </w:p>
    <w:p>
      <w:pPr>
        <w:ind w:firstLine="709"/>
      </w:pPr>
      <w:r>
        <w:rPr>
          <w:rFonts w:ascii="Times New Roman" w:hAnsi="Times New Roman"/>
          <w:color w:val="2D2D2D"/>
          <w:sz w:val="28"/>
        </w:rPr>
        <w:t>Анализ данных показывает, что наиболее значительный прирост зафиксирован по показателю оригинальности. Дети стали предлагать больше нестандартных идей, реже повторяли шаблонные решения. Показатели беглости и гибкости также существенно выросли, что свидетельствует о повышении скорости порождения идей и способности переключаться между различными подходами. Наименьший прирост отмечен по разработанности, что объясняется возрастными особенностями учащихся: детальной проработке замысла младшим школьникам требуется больше времени и специального внимания. Полученные данные позволяют сделать вывод о целесообразности продолжения работы с усилением акцента на детализацию творческих продуктов.</w:t>
      </w:r>
    </w:p>
    <w:p>
      <w:pPr>
        <w:pStyle w:val="Heading3"/>
        <w:spacing w:before="400" w:after="160" w:line="276" w:lineRule="auto"/>
        <w:ind w:firstLine="0"/>
      </w:pPr>
      <w:r>
        <w:rPr>
          <w:rFonts w:ascii="Times New Roman" w:hAnsi="Times New Roman"/>
          <w:b/>
          <w:i/>
          <w:color w:val="1A3A5C"/>
          <w:sz w:val="28"/>
        </w:rPr>
        <w:t>Качественные изменения в учебной деятельности</w:t>
      </w:r>
    </w:p>
    <w:p>
      <w:pPr>
        <w:ind w:firstLine="709"/>
      </w:pPr>
      <w:r>
        <w:rPr>
          <w:rFonts w:ascii="Times New Roman" w:hAnsi="Times New Roman"/>
          <w:color w:val="2D2D2D"/>
          <w:sz w:val="28"/>
        </w:rPr>
        <w:t>Помимо количественных показателей, в ходе наблюдения были выявлены качественные изменения в характере учебной деятельности обучающихся. Ученики стали более инициативными на уроках, чаще задавали вопросы исследовательского характера. Возросла самостоятельность при выполнении заданий: дети реже обращались за помощью к учителю, предпочитая сначала обсудить возникшие затруднения в паре или группе. Отмечено повышение уверенности при публичных выступлениях. Если в начале года многие дети испытывали страх перед ответом у доски, то к концу года большинство обучающихся свободно представляли результаты групповых проектов, аргументированно отвечали на вопросы одноклассников. Улучшилась психологическая атмосфера в классах. Появилась культура конструктивной обратной связи: дети научились отмечать сильные стороны работ друг друга и высказывать пожелания в доброжелательной форме. Родители обучающихся также отмечали повышение интереса детей к учебе и творчеству. По данным опроса, проведенного в конце учебного года, 78 процентов родителей указали, что дети стали охотнее выполнять домашние задания творческого характера, а 64 процента отметили рост самостоятельности в использовании цифровых устройств в учебных целях. Эти данные носят ориентировочный характер, однако подтверждают общую положительную тенденцию.</w:t>
      </w:r>
    </w:p>
    <w:p>
      <w:pPr>
        <w:pStyle w:val="Heading2"/>
        <w:spacing w:before="480" w:after="200" w:line="276" w:lineRule="auto"/>
        <w:ind w:firstLine="0"/>
      </w:pPr>
      <w:r>
        <w:rPr>
          <w:rFonts w:ascii="Times New Roman" w:hAnsi="Times New Roman"/>
          <w:b/>
          <w:color w:val="C95A2B"/>
          <w:sz w:val="30"/>
        </w:rPr>
        <w:t>Условия эффективного применения современных технологий</w:t>
      </w:r>
    </w:p>
    <w:p>
      <w:pPr>
        <w:ind w:firstLine="709"/>
      </w:pPr>
      <w:r>
        <w:rPr>
          <w:rFonts w:ascii="Times New Roman" w:hAnsi="Times New Roman"/>
          <w:color w:val="2D2D2D"/>
          <w:sz w:val="28"/>
        </w:rPr>
        <w:t>Для достижения устойчивых результатов в развитии творческих способностей младших школьников необходимо соблюдение ряда организационно-педагогических условий. Первое условие — целенаправленное повышение квалификации педагогов. Учитель начальных классов должен владеть не только отдельными приемами, но и понимать психологические механизмы творческого развития. Методические объединения, семинары-практикумы, взаимопосещение уроков позволяют распространять успешный педагогический опыт. Второе условие — модернизация материально-технической базы. Современные технологии требуют наличия мультимедийного оборудования, доступа к сети Интернет, программного обеспечения для творческой деятельности. При этом важно соблюдать санитарно-гигиенические требования к организации работы младших школьников с цифровыми устройствами. Третье условие — создание безопасной творческой образовательной среды. В классе должны быть четко обозначены правила, поощряющие инициативу и исключающие насмешки над неудачами. Ошибка рассматривается как этап поиска, а не как личный недостаток. Четвертое условие — вовлечение родителей в процесс творческого развития. Семейные творческие конкурсы, совместные проекты, мастер-классы для родителей помогают создать единое образовательное пространство. Пятое условие — систематичность и последовательность. Разовые мероприятия, какими бы яркими они ни были, не дают стойкого эффекта. Необходимо выстроить систему работы, в которой творческие задания присутствуют на каждом уроке и во внеурочной деятельности. Шестое условие — учет индивидуальных особенностей обучающихся. Дети различаются по темпу работы, познавательным интересам, ведущим каналам восприятия информации. Одним ученикам легче даются вербальные формы творчества, другим — конструкторские, третьим — музыкальные или двигательные. Современные технологии позволяют обеспечить определенную вариативность заданий и видов деятельности.</w:t>
      </w:r>
    </w:p>
    <w:p>
      <w:pPr>
        <w:pStyle w:val="Heading2"/>
        <w:spacing w:before="480" w:after="200" w:line="276" w:lineRule="auto"/>
        <w:ind w:firstLine="0"/>
      </w:pPr>
      <w:r>
        <w:rPr>
          <w:rFonts w:ascii="Times New Roman" w:hAnsi="Times New Roman"/>
          <w:b/>
          <w:color w:val="C95A2B"/>
          <w:sz w:val="30"/>
        </w:rPr>
        <w:t>Заключение</w:t>
      </w:r>
    </w:p>
    <w:p>
      <w:pPr>
        <w:ind w:firstLine="709"/>
      </w:pPr>
      <w:r>
        <w:rPr>
          <w:rFonts w:ascii="Times New Roman" w:hAnsi="Times New Roman"/>
          <w:color w:val="2D2D2D"/>
          <w:sz w:val="28"/>
        </w:rPr>
        <w:t>Проведенный анализ позволяет утверждать, что развитие творческих способностей обучающихся начальной школы представляет собой актуальную и методически обеспеченную задачу современного образования. Творческие способности младших школьников рассматриваются как системное образование, включающее мотивационный, когнитивный и деятельностный компоненты и проявляющееся в способности порождать новые для ребенка продукты. Возрастные особенности учащихся 7-10 лет, такие как высокая эмоциональная восприимчивость, развивающееся воображение, формирующиеся произвольность и рефлексия, создают благоприятные предпосылки для целенаправленной работы по развитию креативности. Современные технологии, включая проблемное обучение, проектную деятельность, игровые практики и цифровые инструменты, расширяют возможности учителя начальных классов по созданию творческой образовательной среды. Эффективность их применения определяется соблюдением принципов возрастной адекватности, активности, постепенности, безоценочности на этапе генерации идей, интеграции урочной и внеурочной деятельности, сотрудничества педагога и обучающихся. Предложенная методика включает диагностический, мотивационно-подготовительный, формирующий, продуктивный и рефлексивно-оценочный этапы. Результаты педагогического наблюдения демонстрируют положительную динамику всех компонентов креативности, особенно беглости, гибкости и оригинальности мышления. Качественные изменения проявляются в росте познавательной инициативы, самостоятельности, уверенности при публичных выступлениях и улучшении психологической атмосферы в детском коллективе. Таким образом, целенаправленное использование современных технологий с учетом возрастных особенностей младших школьников является необходимым условием развития их творческих способностей. Перспективы дальнейшей работы связаны с детальной проработкой критериев оценки креативности, расширением цифровых форматов творческой деятельности и разработкой программ повышения квалификации педагогов в данном направлении.</w:t>
      </w:r>
    </w:p>
    <w:p>
      <w:pPr>
        <w:pStyle w:val="Heading2"/>
        <w:spacing w:before="480" w:after="200" w:line="276" w:lineRule="auto"/>
        <w:ind w:firstLine="0"/>
      </w:pPr>
      <w:r>
        <w:rPr>
          <w:rFonts w:ascii="Times New Roman" w:hAnsi="Times New Roman"/>
          <w:b/>
          <w:color w:val="C95A2B"/>
          <w:sz w:val="30"/>
        </w:rPr>
        <w:t>Список литературы</w:t>
      </w:r>
    </w:p>
    <w:p>
      <w:pPr>
        <w:pStyle w:val="ListNumber"/>
        <w:ind w:firstLine="0"/>
      </w:pPr>
      <w:r>
        <w:rPr>
          <w:rFonts w:ascii="Times New Roman" w:hAnsi="Times New Roman"/>
          <w:color w:val="2D2D2D"/>
          <w:sz w:val="28"/>
        </w:rPr>
        <w:t>Выготский Л.С. Воображение и творчество в детском возрасте.</w:t>
      </w:r>
    </w:p>
    <w:p>
      <w:pPr>
        <w:pStyle w:val="ListNumber"/>
        <w:ind w:firstLine="0"/>
      </w:pPr>
      <w:r>
        <w:rPr>
          <w:rFonts w:ascii="Times New Roman" w:hAnsi="Times New Roman"/>
          <w:color w:val="2D2D2D"/>
          <w:sz w:val="28"/>
        </w:rPr>
        <w:t>Выготский Л.С. Мышление и речь.</w:t>
      </w:r>
    </w:p>
    <w:p>
      <w:pPr>
        <w:pStyle w:val="ListNumber"/>
        <w:ind w:firstLine="0"/>
      </w:pPr>
      <w:r>
        <w:rPr>
          <w:rFonts w:ascii="Times New Roman" w:hAnsi="Times New Roman"/>
          <w:color w:val="2D2D2D"/>
          <w:sz w:val="28"/>
        </w:rPr>
        <w:t>Леонтьев А.Н. Деятельность. Сознание. Личность.</w:t>
      </w:r>
    </w:p>
    <w:p>
      <w:pPr>
        <w:pStyle w:val="ListNumber"/>
        <w:ind w:firstLine="0"/>
      </w:pPr>
      <w:r>
        <w:rPr>
          <w:rFonts w:ascii="Times New Roman" w:hAnsi="Times New Roman"/>
          <w:color w:val="2D2D2D"/>
          <w:sz w:val="28"/>
        </w:rPr>
        <w:t>Рубинштейн С.Л. Основы общей психологии.</w:t>
      </w:r>
    </w:p>
    <w:p>
      <w:pPr>
        <w:pStyle w:val="ListNumber"/>
        <w:ind w:firstLine="0"/>
      </w:pPr>
      <w:r>
        <w:rPr>
          <w:rFonts w:ascii="Times New Roman" w:hAnsi="Times New Roman"/>
          <w:color w:val="2D2D2D"/>
          <w:sz w:val="28"/>
        </w:rPr>
        <w:t>Эльконин Д.Б. Психология обучения младшего школьника.</w:t>
      </w:r>
    </w:p>
    <w:p>
      <w:pPr>
        <w:pStyle w:val="ListNumber"/>
        <w:ind w:firstLine="0"/>
      </w:pPr>
      <w:r>
        <w:rPr>
          <w:rFonts w:ascii="Times New Roman" w:hAnsi="Times New Roman"/>
          <w:color w:val="2D2D2D"/>
          <w:sz w:val="28"/>
        </w:rPr>
        <w:t>Давыдов В.В. Проблемы развивающего обучения.</w:t>
      </w:r>
    </w:p>
    <w:p>
      <w:pPr>
        <w:pStyle w:val="ListNumber"/>
        <w:ind w:firstLine="0"/>
      </w:pPr>
      <w:r>
        <w:rPr>
          <w:rFonts w:ascii="Times New Roman" w:hAnsi="Times New Roman"/>
          <w:color w:val="2D2D2D"/>
          <w:sz w:val="28"/>
        </w:rPr>
        <w:t>Асмолов А.Г. Психология личности: культурно-историческое понимание развития человека.</w:t>
      </w:r>
    </w:p>
    <w:p>
      <w:pPr>
        <w:pStyle w:val="ListNumber"/>
        <w:ind w:firstLine="0"/>
      </w:pPr>
      <w:r>
        <w:rPr>
          <w:rFonts w:ascii="Times New Roman" w:hAnsi="Times New Roman"/>
          <w:color w:val="2D2D2D"/>
          <w:sz w:val="28"/>
        </w:rPr>
        <w:t>Актуальные проблемы начального общего образования: сборник научных трудов (2022).</w:t>
      </w:r>
    </w:p>
    <w:p>
      <w:pPr>
        <w:pStyle w:val="ListNumber"/>
        <w:ind w:firstLine="0"/>
      </w:pPr>
      <w:r>
        <w:rPr>
          <w:rFonts w:ascii="Times New Roman" w:hAnsi="Times New Roman"/>
          <w:color w:val="2D2D2D"/>
          <w:sz w:val="28"/>
        </w:rPr>
        <w:t>Педагогика и психология образования: научный журнал. 2021-2024.</w:t>
      </w:r>
    </w:p>
    <w:p>
      <w:pPr>
        <w:pStyle w:val="ListNumber"/>
        <w:ind w:firstLine="0"/>
      </w:pPr>
      <w:r>
        <w:rPr>
          <w:rFonts w:ascii="Times New Roman" w:hAnsi="Times New Roman"/>
          <w:color w:val="2D2D2D"/>
          <w:sz w:val="28"/>
        </w:rPr>
        <w:t>Информационные технологии в начальной школе: методические рекомендации для педагогов (2023).</w:t>
      </w:r>
    </w:p>
    <w:p>
      <w:pPr>
        <w:pStyle w:val="ListNumber"/>
        <w:ind w:firstLine="0"/>
      </w:pPr>
      <w:r>
        <w:rPr>
          <w:rFonts w:ascii="Times New Roman" w:hAnsi="Times New Roman"/>
          <w:color w:val="2D2D2D"/>
          <w:sz w:val="28"/>
        </w:rPr>
        <w:t>Развитие творческих способностей младших школьников в условиях цифровой образовательной среды: материалы научно-практической конференции (2023).</w:t>
      </w:r>
    </w:p>
    <w:p>
      <w:pPr>
        <w:pStyle w:val="ListNumber"/>
        <w:ind w:firstLine="0"/>
      </w:pPr>
      <w:r>
        <w:rPr>
          <w:rFonts w:ascii="Times New Roman" w:hAnsi="Times New Roman"/>
          <w:color w:val="2D2D2D"/>
          <w:sz w:val="28"/>
        </w:rPr>
        <w:t>Современные образовательные технологии в начальной школе: практическое пособие для учителей (2024).</w:t>
      </w:r>
    </w:p>
    <w:sectPr w:rsidR="00FC693F" w:rsidRPr="0006063C" w:rsidSect="00034616">
      <w:headerReference w:type="default" r:id="rId9"/>
      <w:footerReference w:type="default" r:id="rId10"/>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ind w:firstLine="0"/>
      <w:jc w:val="center"/>
      <w:pBdr>
        <w:top w:val="single" w:sz="4" w:space="4" w:color="1a3a5c"/>
      </w:pBdr>
    </w:pPr>
    <w:r>
      <w:rPr>
        <w:rFonts w:ascii="Times New Roman" w:hAnsi="Times New Roman"/>
        <w:color w:val="6B6B6B"/>
        <w:sz w:val="20"/>
      </w:rPr>
      <w:t xml:space="preserve">Страница </w:t>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ind w:firstLine="0"/>
      <w:jc w:val="center"/>
      <w:pBdr>
        <w:bottom w:val="single" w:sz="4" w:space="4" w:color="1a3a5c"/>
      </w:pBdr>
    </w:pPr>
    <w:r>
      <w:rPr>
        <w:rFonts w:ascii="Times New Roman" w:hAnsi="Times New Roman"/>
        <w:i/>
        <w:color w:val="6B6B6B"/>
        <w:sz w:val="20"/>
      </w:rPr>
      <w:t>Развитие творческих способностей обучающихся начальной школы с использованием современных технологий</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after="120" w:before="0"/>
      <w:ind w:firstLine="709"/>
    </w:pPr>
    <w:rPr>
      <w:rFonts w:eastAsia="Times New Roman"/>
      <w:rFonts w:ascii="Times New Roman" w:hAnsi="Times New Roman"/>
      <w:color w:val="2D2D2D"/>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200" w:line="276" w:lineRule="auto"/>
      <w:ind w:firstLine="0"/>
      <w:jc w:val="center"/>
      <w:outlineLvl w:val="0"/>
    </w:pPr>
    <w:rPr>
      <w:rFonts w:asciiTheme="majorHAnsi" w:eastAsiaTheme="majorEastAsia" w:hAnsiTheme="majorHAnsi" w:cstheme="majorBidi" w:ascii="Times New Roman" w:hAnsi="Times New Roman"/>
      <w:b/>
      <w:bCs/>
      <w:color w:val="1A3A5C"/>
      <w:sz w:val="36"/>
      <w:szCs w:val="28"/>
    </w:rPr>
  </w:style>
  <w:style w:type="paragraph" w:styleId="Heading2">
    <w:name w:val="heading 2"/>
    <w:basedOn w:val="Normal"/>
    <w:next w:val="Normal"/>
    <w:link w:val="Heading2Char"/>
    <w:uiPriority w:val="9"/>
    <w:unhideWhenUsed/>
    <w:qFormat/>
    <w:rsid w:val="00FC693F"/>
    <w:pPr>
      <w:keepNext/>
      <w:keepLines/>
      <w:spacing w:before="480" w:after="200" w:line="276" w:lineRule="auto"/>
      <w:ind w:firstLine="0"/>
      <w:outlineLvl w:val="1"/>
    </w:pPr>
    <w:rPr>
      <w:rFonts w:asciiTheme="majorHAnsi" w:eastAsiaTheme="majorEastAsia" w:hAnsiTheme="majorHAnsi" w:cstheme="majorBidi" w:ascii="Times New Roman" w:hAnsi="Times New Roman"/>
      <w:b/>
      <w:bCs/>
      <w:color w:val="C95A2B"/>
      <w:sz w:val="30"/>
      <w:szCs w:val="26"/>
    </w:rPr>
  </w:style>
  <w:style w:type="paragraph" w:styleId="Heading3">
    <w:name w:val="heading 3"/>
    <w:basedOn w:val="Normal"/>
    <w:next w:val="Normal"/>
    <w:link w:val="Heading3Char"/>
    <w:uiPriority w:val="9"/>
    <w:unhideWhenUsed/>
    <w:qFormat/>
    <w:rsid w:val="00FC693F"/>
    <w:pPr>
      <w:keepNext/>
      <w:keepLines/>
      <w:spacing w:before="480" w:after="200" w:line="276" w:lineRule="auto"/>
      <w:ind w:firstLine="0"/>
      <w:outlineLvl w:val="2"/>
    </w:pPr>
    <w:rPr>
      <w:rFonts w:asciiTheme="majorHAnsi" w:eastAsiaTheme="majorEastAsia" w:hAnsiTheme="majorHAnsi" w:cstheme="majorBidi" w:ascii="Times New Roman" w:hAnsi="Times New Roman"/>
      <w:b/>
      <w:bCs/>
      <w:i/>
      <w:color w:val="1A3A5C"/>
      <w:sz w:val="2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