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8F9" w:rsidRDefault="00E6215C">
      <w:pPr>
        <w:spacing w:before="240" w:after="24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  <w:r w:rsidR="00270A2D">
        <w:rPr>
          <w:rFonts w:ascii="Times New Roman" w:eastAsia="Times New Roman" w:hAnsi="Times New Roman" w:cs="Times New Roman"/>
          <w:color w:val="000000"/>
          <w:sz w:val="24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  РЕЙТИНГОВАЯ КАРТА </w:t>
      </w:r>
    </w:p>
    <w:p w:rsidR="000B78F9" w:rsidRDefault="00E6215C">
      <w:pPr>
        <w:spacing w:before="240" w:after="240"/>
      </w:pPr>
      <w: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          качества образования в </w:t>
      </w:r>
      <w:r w:rsidR="00270A2D">
        <w:rPr>
          <w:rFonts w:ascii="Times New Roman" w:eastAsia="Times New Roman" w:hAnsi="Times New Roman" w:cs="Times New Roman"/>
          <w:color w:val="000000"/>
          <w:sz w:val="24"/>
        </w:rPr>
        <w:t xml:space="preserve">МКОУ </w:t>
      </w:r>
      <w:proofErr w:type="spellStart"/>
      <w:r w:rsidR="00270A2D">
        <w:rPr>
          <w:rFonts w:ascii="Times New Roman" w:eastAsia="Times New Roman" w:hAnsi="Times New Roman" w:cs="Times New Roman"/>
          <w:color w:val="000000"/>
          <w:sz w:val="24"/>
        </w:rPr>
        <w:t>Профсоюзнинская</w:t>
      </w:r>
      <w:proofErr w:type="spellEnd"/>
      <w:r w:rsidR="00270A2D">
        <w:rPr>
          <w:rFonts w:ascii="Times New Roman" w:eastAsia="Times New Roman" w:hAnsi="Times New Roman" w:cs="Times New Roman"/>
          <w:color w:val="000000"/>
          <w:sz w:val="24"/>
        </w:rPr>
        <w:t xml:space="preserve"> СШ</w:t>
      </w:r>
    </w:p>
    <w:p w:rsidR="000B78F9" w:rsidRDefault="00E6215C">
      <w:pPr>
        <w:spacing w:before="240" w:after="240"/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                    по итогам прошедшего учебного года </w:t>
      </w:r>
    </w:p>
    <w:p w:rsidR="000B78F9" w:rsidRDefault="00270A2D">
      <w:pPr>
        <w:spacing w:before="240" w:after="240"/>
      </w:pPr>
      <w:r>
        <w:rPr>
          <w:rFonts w:ascii="Times New Roman" w:eastAsia="Times New Roman" w:hAnsi="Times New Roman" w:cs="Times New Roman"/>
          <w:color w:val="000000"/>
          <w:sz w:val="24"/>
        </w:rPr>
        <w:t>                   (с 01 сентября 2022</w:t>
      </w:r>
      <w:r w:rsidR="00E6215C">
        <w:rPr>
          <w:rFonts w:ascii="Times New Roman" w:eastAsia="Times New Roman" w:hAnsi="Times New Roman" w:cs="Times New Roman"/>
          <w:color w:val="000000"/>
          <w:sz w:val="24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</w:rPr>
        <w:t>01 сентября 2023г.</w:t>
      </w:r>
      <w:r w:rsidR="00E6215C">
        <w:rPr>
          <w:rFonts w:ascii="Times New Roman" w:eastAsia="Times New Roman" w:hAnsi="Times New Roman" w:cs="Times New Roman"/>
          <w:color w:val="000000"/>
          <w:sz w:val="24"/>
        </w:rPr>
        <w:t>)</w:t>
      </w:r>
    </w:p>
    <w:tbl>
      <w:tblPr>
        <w:tblStyle w:val="a9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/>
      </w:tblPr>
      <w:tblGrid>
        <w:gridCol w:w="1340"/>
        <w:gridCol w:w="1550"/>
        <w:gridCol w:w="3124"/>
        <w:gridCol w:w="1526"/>
        <w:gridCol w:w="732"/>
        <w:gridCol w:w="1113"/>
      </w:tblGrid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Критерии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Целевые индикаторы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Методика подсчета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Сумма баллов 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 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34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I. Показатели, отражающие реализацию требований к качеству образования 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1.1. Внешний аудит качества образования: участие общеобразовательной организации в мониторинговых (диагностических) исследованиях качества образования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обучающихся (от общего количества обучающихся), участвовавших в мониторинговых (диагностических) исследованиях качества образования различного уровня:</w:t>
            </w:r>
            <w:proofErr w:type="gramEnd"/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международного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0, 1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федерального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0, 1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8.1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регионального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0, 1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1.2. Наличие ресурсов (условий), обеспечивающих реализацию основной образовательной программы образовательной организации. Кадровый ресурс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1.2.1. Доля педагогических работников, имеющих высшую квалификационную категорию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 w:rsidP="00270A2D">
            <w:pPr>
              <w:tabs>
                <w:tab w:val="left" w:pos="1335"/>
              </w:tabs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0,5 </w:t>
            </w:r>
            <w:r w:rsidR="00270A2D">
              <w:rPr>
                <w:rFonts w:ascii="Times New Roman" w:eastAsia="Times New Roman" w:hAnsi="Times New Roman" w:cs="Times New Roman"/>
                <w:color w:val="000000"/>
                <w:sz w:val="24"/>
              </w:rPr>
              <w:tab/>
              <w:t>0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1.2.2. Доля педагогических работников, имеющих первую квалификационную категорию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0,1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1.2.3. Доля молодых специалистов (со стажем работы до 3 лет по специальности и в возрасте до 35 лет), включая совместителей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1,0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1.2.4. Количество штатных педагогических работников, имеющих ученую степень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балла за каждого работника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1.2.5. Количество педагогических работников, имеющих: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государственные награды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отраслевые награды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1.2.6. Доля учителей общеобразовательных организаций Волгоградской области, успешно прошедших оценку методических компетенций учителей по предметам "Русский язык", "Математика", "Физика", "Химия", "Биология"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1,0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100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1.3. Создание доступной,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безбарьерной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образовательной среды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1.3.1. Организация работы по дистанционному обучению детей-инвалидов, детей с ОВЗ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1.3.2. Организация инклюзивного образования (детей-инвалидов, детей с ОВЗ)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баллов за каждого обучающегося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1.3.3. Организация работы Ресурсного класса по обучению детей с расстройством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аутистического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спектра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34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II. Показатели, отражающие степень реализации индивидуальных образовательных потребностей обучающихся 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2.1. Вариативность форм и содержания получения образования в общеобразовательной организации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2.1.1.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Доля обучающихся, получающих общее образование в разных формах:</w:t>
            </w:r>
            <w:proofErr w:type="gramEnd"/>
          </w:p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семейная </w:t>
            </w:r>
          </w:p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самообразование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0,2 за каждую форму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2.1.2.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получающих образование по адаптированным образовательным программам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за каждого обучающегося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2.2.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Обучение по программам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повышенного уровня подготовки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2.2.1. 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 программам повышенного уровня подготовки (от общего количества обучающихся):</w:t>
            </w:r>
          </w:p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углубленный уровень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0,3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2.3.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Востребованность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полученного образования (при переходе на другие уровни образования)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2.3.1. Доля выпускников, поступивших в организации профессионального образования согласно особенностям учебного плана образовательной организации и содержания индивидуального учебного плана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0,4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2.4. Использование сетевого ресурса в целях реализации индивидуальных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образовательных потребностей обучающихся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2.4.1. Доля обучающихся данной образовательной организации (от общего количества обучающихся),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получающих образовательные услуги в других образовательных организациях района (города) в соответствии с договором о сетевом взаимодействии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0,2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2.4.2. Доля обучающихся других образовательных организаций муниципального района (города), получающих образовательные услуги в данной образовательной организации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0,2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2.4.3. Организация различных видов сетевого взаимодействия: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организация сетевого взаимодействия с общеобразовательными организациями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1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с учреждениями дополнительного образования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1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участие в сетевом взаимодействии с учреждениями, имеющими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высокооснащенные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ученико-места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Кванториум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Дом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научной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колаборации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вузы)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с социальными партнерами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2.5. Организация работы со слабоуспевающими учащимися, детьми, оказавшимися в трудной жизненной ситуации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2.5.1. Доля обучающихся, своевременно получивших необходимую психолого-педагогическую, коррекционно-развивающую помощь педагогов образовательной организации: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динамическое наблюдение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0,2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мониторинг результативности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0,2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2.5.2. 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(от общего количества), имеющих академическую задолженность по итогам прошедшего учебного года в сравнении с предыдущим периодом: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ниже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(-0,2)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выше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(-0,2)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2.5.3. Увеличение выявленных семей и (или) несовершеннолетних, находящихся в социально опасном положении, которым оказана помощь в обучении и в воспитании детей, в сравнении на начало и конец года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0,5 балла за каждого выявленного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2.6. Организация работы с талантливыми и одаренными детьми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2.6.1. 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(от общего количества), охваченных исследовательской и проектной деятельностью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0,2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2.6.2. Количество призовых мест в научных обществах обучающихся, занятых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образовательной организации: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каждое место (командный или личный зачет)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областных: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место -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9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место -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место -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всероссийских: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 место -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12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 место -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11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 место -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2.6.3. Доля обучающихся (от общего количества) - участников научно-практических конференций, форумов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другое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областных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0,2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всероссийских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0,5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международных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0,6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2.6.4.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Доля обучающихся - победителей и призеров олимпиад, смотров, конкурсов, в том числе всероссийской олимпиады школьников (победители и призеры олимпиад школьников, перечень которых ежегодно утверждается Министерством науки и высшего образования Российской Федерации в соответствии с частью 3 статьи 77 </w:t>
            </w:r>
            <w:hyperlink r:id="rId6" w:anchor="7D20K3" w:history="1">
              <w:r>
                <w:rPr>
                  <w:rStyle w:val="aa"/>
                  <w:rFonts w:ascii="Times New Roman" w:eastAsia="Times New Roman" w:hAnsi="Times New Roman" w:cs="Times New Roman"/>
                  <w:color w:val="0000EE"/>
                  <w:sz w:val="24"/>
                </w:rPr>
                <w:t>Федерального закона от 29 декабря 2012 г. N 273-ФЗ "Об образовании в Российской Федерации"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подпунктом 4.2.44 пункта 4.2 Положения о Министерстве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науки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высшего образования Российской Федерации, утвержденного </w:t>
            </w:r>
            <w:hyperlink r:id="rId7" w:anchor="7D20K3" w:history="1">
              <w:r>
                <w:rPr>
                  <w:rStyle w:val="aa"/>
                  <w:rFonts w:ascii="Times New Roman" w:eastAsia="Times New Roman" w:hAnsi="Times New Roman" w:cs="Times New Roman"/>
                  <w:color w:val="0000EE"/>
                  <w:sz w:val="24"/>
                </w:rPr>
                <w:t>постановлением Правительства Российской Федерации от 15 июня 2018 г. N 682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;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победители и призеры олимпиад и иных интеллектуальных и (или) творческих конкурсов, мероприятий, направленных на развитие интеллектуальных и творческих способностей, способностей к занятиям физической культурой и спортом, интереса к научной (научно-исследовательской), инженерно-технической, изобретательской, творческой, физкультурно-спортивной деятельности, а также на пропаганду научных знаний, творческих и спортивных достижений, перечень которых утверждается ежегодно приказом Министерства просвещения Российской Федерации в соответствии с пунктом 4 </w:t>
            </w:r>
            <w:hyperlink r:id="rId8" w:anchor="65E0IS" w:history="1">
              <w:r>
                <w:rPr>
                  <w:rStyle w:val="aa"/>
                  <w:rFonts w:ascii="Times New Roman" w:eastAsia="Times New Roman" w:hAnsi="Times New Roman" w:cs="Times New Roman"/>
                  <w:color w:val="0000EE"/>
                  <w:sz w:val="24"/>
                </w:rPr>
                <w:t>Правил</w:t>
              </w:r>
              <w:proofErr w:type="gramEnd"/>
              <w:r>
                <w:rPr>
                  <w:rStyle w:val="aa"/>
                  <w:rFonts w:ascii="Times New Roman" w:eastAsia="Times New Roman" w:hAnsi="Times New Roman" w:cs="Times New Roman"/>
                  <w:color w:val="0000EE"/>
                  <w:sz w:val="24"/>
                </w:rPr>
                <w:t xml:space="preserve"> выявления детей, проявивших выдающиеся способности, и сопровождения их дальнейшего развития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утвержденных </w:t>
            </w:r>
            <w:hyperlink r:id="rId9" w:history="1">
              <w:r>
                <w:rPr>
                  <w:rStyle w:val="aa"/>
                  <w:rFonts w:ascii="Times New Roman" w:eastAsia="Times New Roman" w:hAnsi="Times New Roman" w:cs="Times New Roman"/>
                  <w:color w:val="0000EE"/>
                  <w:sz w:val="24"/>
                </w:rPr>
                <w:t>постановлением Правительства Российской Федерации от 17 ноября 2015 г. N 1239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регионального уровня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0,4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федерального уровня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0,6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международного уровня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0,8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2.6.5. Количество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, имеющих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стипендии: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областной Думы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баллов за каждого ученика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городской Думы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балла за каждого ученика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2.6.6. Наличие в образовательной организации детских средств массовой информации (газета, радио, телевидение)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2.6.7. Наличие в общеобразовательной организации паспортизированной музейной комнаты, музея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2.6.8. Доля обучающихся, занимающихся в спортивных объединениях в общеобразовательной организации (в системе дополнительного образования, кружках-спутниках, секциях, арендующих помещение в общеобразовательной организации)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0,2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34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III. Показатели, отражающие инновационную активность образовательной организации 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3.1. Экспериментальная и инновационная деятельность образовательной организации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3.1.1. Наличие статуса: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федеральной экспериментальной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площадки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  <w:p w:rsidR="00270A2D" w:rsidRDefault="00270A2D">
            <w:pPr>
              <w:spacing w:line="57" w:lineRule="atLeast"/>
            </w:pPr>
          </w:p>
          <w:p w:rsidR="00270A2D" w:rsidRDefault="00270A2D">
            <w:pPr>
              <w:spacing w:line="57" w:lineRule="atLeast"/>
            </w:pPr>
          </w:p>
          <w:p w:rsidR="00270A2D" w:rsidRDefault="00270A2D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региональной инновационной площадки (РИП)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базовой образовательной организации, региональной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стажировочной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площадки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3.2. Инновационная активность педагогов образовательной организации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 w:rsidP="00270A2D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3.2.1. Количество педагогических работников, получивших в </w:t>
            </w:r>
            <w:r w:rsidR="00270A2D">
              <w:rPr>
                <w:rFonts w:ascii="Times New Roman" w:eastAsia="Times New Roman" w:hAnsi="Times New Roman" w:cs="Times New Roman"/>
                <w:color w:val="000000"/>
                <w:sz w:val="24"/>
              </w:rPr>
              <w:t>2022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учебном году премии, гранты: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за каждого получателя: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Премии Президента Российской Федерации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Премии Губернатора Волгоградской области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270A2D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администраций муниципальных районов (городских округов)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15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1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гранты различных фондов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3.2.2.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Доля педагогических работников, принимающих участие в работе комиссий (в том числе в рамках государственной итоговой аттестации по образовательным программам основного и среднего общего образования), экспертов и экспертных групп (в том числе в рамках оценки профессиональной деятельности педагогических работников в целях установления квалификационной категории, процедуры лицензирования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аккредитации образовательных организаций, других), членов жюри, судей:</w:t>
            </w:r>
            <w:proofErr w:type="gramEnd"/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регионального уровня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0,1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всероссийского уровня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0,2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международного уровня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0,3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3.2.3. Доля педагогических работников - победителей и призеров конкурсов профессионального мастерства ("Учитель года", "Самый классный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классный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", "Вожатый года" и другие):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- регионального уровня: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место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0,6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место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0,5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место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0,4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0,3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всероссийского уровня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место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0,10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место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0,9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место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0,8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участие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0,7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3.3. Организация работы по распространению эффективного педагогического опыта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3.3.1. Количество мероприятий (семинаров, конференций, "круглых столов", тренингов), организованных образовательной организацией в прошедшем учебном году: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за каждое мероприятие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региональных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всероссийских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международных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3.3.2. Доля педагогов, транслирующих свой эффективный педагогический опыт на уровне: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региональном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0,3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всероссийском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0,5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- международном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0,6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3.4. Реализация проектов и стратегических инициатив в рамках национального проекта "Образование"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3.4.1. Наличие добровольческого объединения, проведение уроков по популяризации добровольчества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3.4.2. Наличие на базе образовательной организации первичного отделения Волгоградского регионального отделения Общероссийской общественно-государственной детско-юношеской организации "Российское движение школьников"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3.4.3. Наличие на базе образовательной организации отряда Всероссийского детско-юношеского военно-патриотического общественного движения "ЮНАРМИЯ"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10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3.4.4. Доля участников Всероссийского конкурса "Большая перемена"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0,3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3.4.5.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Доля обучающихся по образовательным программам основного и среднего общего образования, охваченных мероприятиями, направленными на раннюю профессиональную ориентацию, в том числе в рамках программы "Билет в будущее" в общей численности обучающихся, процент </w:t>
            </w:r>
            <w:proofErr w:type="gramEnd"/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3.4.6.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Доля обучающихся по образовательным программам основного и среднего общего образования, принявших участие в открытых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онлайн-уроках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, реализуемых с учетом опыта цикла открытых уроков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Проектория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", направленных на раннюю профессиональную ориентацию, в общей численности обучающихся, процент </w:t>
            </w:r>
            <w:proofErr w:type="gramEnd"/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3.4.7. Внедрение целевой модели наставничества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образовательной организации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балла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3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3.4.8. Участие в проекте методической адресной помощи 500 + в качестве куратора школ с низкими образовательными результатами (ШНОР)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балла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34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IV. Показатели, отражающие степень инвестиционной привлекательности образовательной организации 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4.1. Привлечение внебюджетных средств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4.1.1. Доля (от общего количества)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образовательной организации, получающих платные образовательные услуги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0,3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4.1.2. Доля привлеченных средств (гранты, пожертвования) в общем объеме финансирования образовательной организации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0,5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34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V. Показатели, отражающие степень безопасности и сохранения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в образовательной организации 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5.1. Сохранность жизни и здоровья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5.1.1. Количество случаев травматизма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обучающихся в образовательной организации за прошедший учебный год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минус 10 баллов за каждый случай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5.1.2. Количество случаев дорожно-транспортного травматизма, произошедших по вине обучающихся образовательной организации в прошедшем учебном году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минус 10 баллов за каждый случай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5.1.3. Доля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(от общего количества), обеспеченных горячим питанием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%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0,1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5.1.4. Результаты сдачи ГТО: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золотой значок ГТО соответствующей или более старшей возрастной категории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за каждого обучающегося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3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серебряный значок ГТО соответствующей или более старшей возрастной категории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0,5 балла за каждого обучающегося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2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5.2. Организация отдыха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5.2.1. Наличие лагеря с дневным пребыванием детей на базе общеобразовательной организации в дни летних каникул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1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5.2.1. Наличие лагеря с дневным пребыванием детей на базе общеобразовательной организации в дни осенних каникул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5.2.1. Наличие лагеря с дневным пребыванием детей на базе общеобразовательной организации в дни зимних каникул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5.2.1. Наличие лагеря с дневным пребыванием детей на базе общеобразовательной организации в дни весенних каникул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343" w:type="dxa"/>
            <w:gridSpan w:val="5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VI. Показатели, отражающие финансово-экономическую деятельность, деятельность по развитию материально-технической базы, информационной открытости образовательной организации 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6.1. Финансово-экономическая деятельность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6.1.1. Достижение целевых показателей, определенных в "Майских указах" Президента Российской Федерации (за прошедший календарный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год)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5 баллов за достижение показателей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6.1.2. Наличие платных образовательных услуг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Более 10% от бюджетного финансирования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5 баллов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Менее 10% от бюджетного финансирования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3 балла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Отсутствие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минус 3 балла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3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6.2. Деятельность по развитию материально-технической базы, информационной открытости образовательной организации </w:t>
            </w: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6.2.1. Библиотечный фонд (учебники, методические пособия) в расчете на одного обучающегося сроком издания не старше 5 лет - 100%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балла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6.2.2. Своевременное обновление информации на официальном сайте общеобразовательной организации,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bus.gov.ru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балла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2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6.2.3. Количество статей, репортажей, сюжетов с положительной и/или нейтральной оценкой деятельности общеобразовательной организации в средствах массовой информации (не менее 3-х за прошедший год)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балл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6.2.4. Отсутствие предписаний надзорных органов и подтвердившихся обращений граждан 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плюс 2 балла при отсутствии предписаний/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2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обращений </w:t>
            </w:r>
          </w:p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минус 1 балл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при наличии предписаний/ обращений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lastRenderedPageBreak/>
              <w:t>0</w:t>
            </w:r>
          </w:p>
        </w:tc>
      </w:tr>
      <w:tr w:rsidR="000B78F9">
        <w:trPr>
          <w:gridAfter w:val="1"/>
          <w:wAfter w:w="9366" w:type="dxa"/>
        </w:trPr>
        <w:tc>
          <w:tcPr>
            <w:tcW w:w="901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8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6.2.5. Результаты независимой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оценки качества условий осуществления образовательной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организации (далее - НОКОД)</w:t>
            </w:r>
          </w:p>
        </w:tc>
        <w:tc>
          <w:tcPr>
            <w:tcW w:w="29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80 - 100 баллов - 2 балла </w:t>
            </w:r>
          </w:p>
        </w:tc>
        <w:tc>
          <w:tcPr>
            <w:tcW w:w="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line="57" w:lineRule="atLeast"/>
            </w:pPr>
            <w:r>
              <w:t>0</w:t>
            </w:r>
          </w:p>
        </w:tc>
      </w:tr>
      <w:tr w:rsidR="000B78F9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61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61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79 - 50 баллов - 1 балл </w:t>
            </w:r>
          </w:p>
        </w:tc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61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Выполнение плана по устранению недостатков, выявленных в ходе НОКОД </w:t>
            </w: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плюс 1 балл при выполнении плана </w:t>
            </w:r>
          </w:p>
        </w:tc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  <w:tr w:rsidR="000B78F9">
        <w:tc>
          <w:tcPr>
            <w:tcW w:w="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618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  <w:tc>
          <w:tcPr>
            <w:tcW w:w="3170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E6215C">
            <w:pPr>
              <w:spacing w:before="240" w:after="24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минус 1 балл при невыполнении плана </w:t>
            </w:r>
          </w:p>
        </w:tc>
        <w:tc>
          <w:tcPr>
            <w:tcW w:w="935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B78F9" w:rsidRDefault="000B78F9">
            <w:pPr>
              <w:spacing w:line="57" w:lineRule="atLeast"/>
            </w:pPr>
          </w:p>
        </w:tc>
      </w:tr>
    </w:tbl>
    <w:p w:rsidR="000B78F9" w:rsidRDefault="00E6215C">
      <w:pPr>
        <w:spacing w:before="240" w:after="240"/>
      </w:pPr>
      <w: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ИТОГО:</w:t>
      </w:r>
    </w:p>
    <w:p w:rsidR="00F9231F" w:rsidRDefault="00E6215C" w:rsidP="00E6215C">
      <w:pPr>
        <w:spacing w:before="240" w:after="240"/>
        <w:rPr>
          <w:rFonts w:ascii="Times New Roman" w:eastAsia="Times New Roman" w:hAnsi="Times New Roman" w:cs="Times New Roman"/>
          <w:color w:val="000000"/>
          <w:sz w:val="24"/>
        </w:rPr>
      </w:pPr>
      <w: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Директор МКОУ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Профсоюзнинская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СШ   </w:t>
      </w:r>
    </w:p>
    <w:p w:rsidR="000B78F9" w:rsidRDefault="00F9231F" w:rsidP="00E6215C">
      <w:pPr>
        <w:spacing w:before="240" w:after="240"/>
      </w:pPr>
      <w:r>
        <w:rPr>
          <w:rFonts w:ascii="Times New Roman" w:eastAsia="Times New Roman" w:hAnsi="Times New Roman" w:cs="Times New Roman"/>
          <w:color w:val="000000"/>
          <w:sz w:val="24"/>
        </w:rPr>
        <w:t>Сорокина Наталья Владимировна</w:t>
      </w:r>
      <w:r w:rsidR="00E6215C">
        <w:rPr>
          <w:rFonts w:ascii="Times New Roman" w:eastAsia="Times New Roman" w:hAnsi="Times New Roman" w:cs="Times New Roman"/>
          <w:color w:val="000000"/>
          <w:sz w:val="24"/>
        </w:rPr>
        <w:t>           ______________________________</w:t>
      </w:r>
    </w:p>
    <w:p w:rsidR="00E6215C" w:rsidRPr="00F9231F" w:rsidRDefault="00E6215C" w:rsidP="00E6215C">
      <w:pPr>
        <w:spacing w:before="240" w:after="240"/>
        <w:rPr>
          <w:rFonts w:ascii="Verdana" w:hAnsi="Verdana"/>
          <w:bCs/>
          <w:color w:val="000000"/>
          <w:shd w:val="clear" w:color="auto" w:fill="FFFFFF"/>
        </w:rPr>
      </w:pPr>
      <w:r>
        <w:br/>
      </w:r>
      <w:r w:rsidRPr="00F9231F">
        <w:rPr>
          <w:rFonts w:ascii="Verdana" w:hAnsi="Verdana"/>
          <w:bCs/>
          <w:color w:val="000000"/>
          <w:shd w:val="clear" w:color="auto" w:fill="FFFFFF"/>
        </w:rPr>
        <w:t>Начальник отдела образования: </w:t>
      </w:r>
    </w:p>
    <w:p w:rsidR="000B78F9" w:rsidRDefault="00E6215C" w:rsidP="00E6215C">
      <w:pPr>
        <w:spacing w:before="240" w:after="240"/>
      </w:pPr>
      <w:r w:rsidRPr="00F9231F">
        <w:rPr>
          <w:rStyle w:val="af1"/>
          <w:rFonts w:ascii="Verdana" w:hAnsi="Verdana"/>
          <w:b w:val="0"/>
          <w:color w:val="000000"/>
          <w:shd w:val="clear" w:color="auto" w:fill="FFFFFF"/>
        </w:rPr>
        <w:t>Лёвин Сергей Григорьевич</w:t>
      </w:r>
      <w:r>
        <w:rPr>
          <w:rFonts w:ascii="Times New Roman" w:eastAsia="Times New Roman" w:hAnsi="Times New Roman" w:cs="Times New Roman"/>
          <w:color w:val="000000"/>
          <w:sz w:val="24"/>
        </w:rPr>
        <w:t>_____________________________</w:t>
      </w:r>
    </w:p>
    <w:p w:rsidR="000B78F9" w:rsidRDefault="000B78F9"/>
    <w:sectPr w:rsidR="000B78F9" w:rsidSect="000B78F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42DE" w:rsidRDefault="003D42DE" w:rsidP="000B78F9">
      <w:pPr>
        <w:spacing w:after="0" w:line="240" w:lineRule="auto"/>
      </w:pPr>
      <w:r>
        <w:separator/>
      </w:r>
    </w:p>
  </w:endnote>
  <w:endnote w:type="continuationSeparator" w:id="0">
    <w:p w:rsidR="003D42DE" w:rsidRDefault="003D42DE" w:rsidP="000B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42DE" w:rsidRDefault="003D42DE">
      <w:pPr>
        <w:spacing w:after="0" w:line="240" w:lineRule="auto"/>
      </w:pPr>
      <w:r>
        <w:separator/>
      </w:r>
    </w:p>
  </w:footnote>
  <w:footnote w:type="continuationSeparator" w:id="0">
    <w:p w:rsidR="003D42DE" w:rsidRDefault="003D42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8F9"/>
    <w:rsid w:val="000B78F9"/>
    <w:rsid w:val="00270A2D"/>
    <w:rsid w:val="003D42DE"/>
    <w:rsid w:val="00E6215C"/>
    <w:rsid w:val="00F92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hd w:val="nil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0B78F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0B78F9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0B78F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0B78F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0B78F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0B78F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rsid w:val="000B78F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0B78F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link w:val="Heading9"/>
    <w:uiPriority w:val="9"/>
    <w:rsid w:val="000B78F9"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rsid w:val="000B78F9"/>
    <w:rPr>
      <w:sz w:val="48"/>
      <w:szCs w:val="48"/>
    </w:rPr>
  </w:style>
  <w:style w:type="character" w:customStyle="1" w:styleId="a5">
    <w:name w:val="Подзаголовок Знак"/>
    <w:link w:val="a6"/>
    <w:uiPriority w:val="11"/>
    <w:rsid w:val="000B78F9"/>
    <w:rPr>
      <w:sz w:val="24"/>
      <w:szCs w:val="24"/>
    </w:rPr>
  </w:style>
  <w:style w:type="character" w:customStyle="1" w:styleId="2">
    <w:name w:val="Цитата 2 Знак"/>
    <w:link w:val="20"/>
    <w:uiPriority w:val="29"/>
    <w:rsid w:val="000B78F9"/>
    <w:rPr>
      <w:i/>
    </w:rPr>
  </w:style>
  <w:style w:type="character" w:customStyle="1" w:styleId="a7">
    <w:name w:val="Выделенная цитата Знак"/>
    <w:link w:val="a8"/>
    <w:uiPriority w:val="30"/>
    <w:rsid w:val="000B78F9"/>
    <w:rPr>
      <w:i/>
    </w:rPr>
  </w:style>
  <w:style w:type="character" w:customStyle="1" w:styleId="HeaderChar">
    <w:name w:val="Header Char"/>
    <w:link w:val="Header"/>
    <w:uiPriority w:val="99"/>
    <w:rsid w:val="000B78F9"/>
  </w:style>
  <w:style w:type="character" w:customStyle="1" w:styleId="FooterChar">
    <w:name w:val="Footer Char"/>
    <w:link w:val="Footer"/>
    <w:uiPriority w:val="99"/>
    <w:rsid w:val="000B78F9"/>
  </w:style>
  <w:style w:type="table" w:styleId="a9">
    <w:name w:val="Table Grid"/>
    <w:basedOn w:val="a1"/>
    <w:uiPriority w:val="59"/>
    <w:rsid w:val="000B78F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">
    <w:name w:val="Lined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rsid w:val="000B78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0B78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rsid w:val="000B78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rsid w:val="000B78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rsid w:val="000B78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rsid w:val="000B78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0B78F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0B78F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a">
    <w:name w:val="Hyperlink"/>
    <w:uiPriority w:val="99"/>
    <w:unhideWhenUsed/>
    <w:rsid w:val="000B78F9"/>
    <w:rPr>
      <w:color w:val="0563C1" w:themeColor="hyperlink"/>
      <w:u w:val="single"/>
    </w:rPr>
  </w:style>
  <w:style w:type="paragraph" w:styleId="ab">
    <w:name w:val="footnote text"/>
    <w:basedOn w:val="a"/>
    <w:link w:val="ac"/>
    <w:uiPriority w:val="99"/>
    <w:semiHidden/>
    <w:unhideWhenUsed/>
    <w:rsid w:val="000B78F9"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sid w:val="000B78F9"/>
    <w:rPr>
      <w:sz w:val="18"/>
    </w:rPr>
  </w:style>
  <w:style w:type="character" w:styleId="ad">
    <w:name w:val="footnote reference"/>
    <w:uiPriority w:val="99"/>
    <w:unhideWhenUsed/>
    <w:rsid w:val="000B78F9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0B78F9"/>
    <w:pPr>
      <w:spacing w:after="57"/>
    </w:pPr>
  </w:style>
  <w:style w:type="paragraph" w:styleId="21">
    <w:name w:val="toc 2"/>
    <w:basedOn w:val="a"/>
    <w:next w:val="a"/>
    <w:uiPriority w:val="39"/>
    <w:unhideWhenUsed/>
    <w:rsid w:val="000B78F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0B78F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0B78F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0B78F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0B78F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0B78F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0B78F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0B78F9"/>
    <w:pPr>
      <w:spacing w:after="57"/>
      <w:ind w:left="2268"/>
    </w:pPr>
  </w:style>
  <w:style w:type="paragraph" w:styleId="ae">
    <w:name w:val="TOC Heading"/>
    <w:uiPriority w:val="39"/>
    <w:unhideWhenUsed/>
    <w:rsid w:val="000B78F9"/>
  </w:style>
  <w:style w:type="paragraph" w:customStyle="1" w:styleId="Heading1">
    <w:name w:val="Heading 1"/>
    <w:basedOn w:val="a"/>
    <w:next w:val="a"/>
    <w:link w:val="Heading1Char"/>
    <w:uiPriority w:val="9"/>
    <w:qFormat/>
    <w:rsid w:val="000B78F9"/>
    <w:pPr>
      <w:keepNext/>
      <w:keepLines/>
      <w:spacing w:before="480" w:after="0"/>
      <w:outlineLvl w:val="0"/>
    </w:pPr>
    <w:rPr>
      <w:b/>
      <w:bCs/>
      <w:color w:val="000000" w:themeColor="text1"/>
      <w:sz w:val="48"/>
      <w:szCs w:val="48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0B78F9"/>
    <w:pPr>
      <w:keepNext/>
      <w:keepLines/>
      <w:spacing w:before="200" w:after="0"/>
      <w:outlineLvl w:val="1"/>
    </w:pPr>
    <w:rPr>
      <w:b/>
      <w:bCs/>
      <w:color w:val="000000" w:themeColor="text1"/>
      <w:sz w:val="40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0B78F9"/>
    <w:pPr>
      <w:keepNext/>
      <w:keepLines/>
      <w:spacing w:before="200" w:after="0"/>
      <w:outlineLvl w:val="2"/>
    </w:pPr>
    <w:rPr>
      <w:b/>
      <w:bCs/>
      <w:i/>
      <w:iCs/>
      <w:color w:val="000000" w:themeColor="text1"/>
      <w:sz w:val="36"/>
      <w:szCs w:val="36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0B78F9"/>
    <w:pPr>
      <w:keepNext/>
      <w:keepLines/>
      <w:spacing w:before="200" w:after="0"/>
      <w:outlineLvl w:val="3"/>
    </w:pPr>
    <w:rPr>
      <w:color w:val="232323"/>
      <w:sz w:val="32"/>
      <w:szCs w:val="32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0B78F9"/>
    <w:pPr>
      <w:keepNext/>
      <w:keepLines/>
      <w:spacing w:before="200" w:after="0"/>
      <w:outlineLvl w:val="4"/>
    </w:pPr>
    <w:rPr>
      <w:b/>
      <w:bCs/>
      <w:color w:val="444444"/>
      <w:sz w:val="28"/>
      <w:szCs w:val="28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0B78F9"/>
    <w:pPr>
      <w:keepNext/>
      <w:keepLines/>
      <w:spacing w:before="200" w:after="0"/>
      <w:outlineLvl w:val="5"/>
    </w:pPr>
    <w:rPr>
      <w:i/>
      <w:iCs/>
      <w:color w:val="232323"/>
      <w:sz w:val="28"/>
      <w:szCs w:val="28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0B78F9"/>
    <w:pPr>
      <w:keepNext/>
      <w:keepLines/>
      <w:spacing w:before="200" w:after="0"/>
      <w:outlineLvl w:val="6"/>
    </w:pPr>
    <w:rPr>
      <w:b/>
      <w:bCs/>
      <w:color w:val="606060"/>
      <w:sz w:val="24"/>
      <w:szCs w:val="24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0B78F9"/>
    <w:pPr>
      <w:keepNext/>
      <w:keepLines/>
      <w:spacing w:before="200" w:after="0"/>
      <w:outlineLvl w:val="7"/>
    </w:pPr>
    <w:rPr>
      <w:color w:val="444444"/>
      <w:sz w:val="24"/>
      <w:szCs w:val="24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0B78F9"/>
    <w:pPr>
      <w:keepNext/>
      <w:keepLines/>
      <w:spacing w:before="200" w:after="0"/>
      <w:outlineLvl w:val="8"/>
    </w:pPr>
    <w:rPr>
      <w:i/>
      <w:iCs/>
      <w:color w:val="444444"/>
      <w:sz w:val="23"/>
      <w:szCs w:val="23"/>
    </w:rPr>
  </w:style>
  <w:style w:type="paragraph" w:customStyle="1" w:styleId="Footer">
    <w:name w:val="Footer"/>
    <w:basedOn w:val="a"/>
    <w:link w:val="FooterChar"/>
    <w:uiPriority w:val="99"/>
    <w:unhideWhenUsed/>
    <w:rsid w:val="000B78F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Header">
    <w:name w:val="Header"/>
    <w:basedOn w:val="a"/>
    <w:link w:val="HeaderChar"/>
    <w:uiPriority w:val="99"/>
    <w:unhideWhenUsed/>
    <w:rsid w:val="000B78F9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No Spacing"/>
    <w:basedOn w:val="a"/>
    <w:uiPriority w:val="1"/>
    <w:qFormat/>
    <w:rsid w:val="000B78F9"/>
    <w:pPr>
      <w:spacing w:after="0" w:line="240" w:lineRule="auto"/>
    </w:pPr>
  </w:style>
  <w:style w:type="paragraph" w:styleId="20">
    <w:name w:val="Quote"/>
    <w:basedOn w:val="a"/>
    <w:next w:val="a"/>
    <w:link w:val="2"/>
    <w:uiPriority w:val="29"/>
    <w:qFormat/>
    <w:rsid w:val="000B78F9"/>
    <w:pPr>
      <w:ind w:left="4536"/>
      <w:jc w:val="both"/>
    </w:pPr>
    <w:rPr>
      <w:i/>
      <w:iCs/>
      <w:color w:val="373737"/>
      <w:sz w:val="18"/>
      <w:szCs w:val="18"/>
    </w:rPr>
  </w:style>
  <w:style w:type="paragraph" w:styleId="a6">
    <w:name w:val="Subtitle"/>
    <w:basedOn w:val="a"/>
    <w:next w:val="a"/>
    <w:link w:val="a5"/>
    <w:uiPriority w:val="11"/>
    <w:qFormat/>
    <w:rsid w:val="000B78F9"/>
    <w:pPr>
      <w:numPr>
        <w:ilvl w:val="1"/>
      </w:numPr>
      <w:spacing w:line="240" w:lineRule="auto"/>
      <w:outlineLvl w:val="0"/>
    </w:pPr>
    <w:rPr>
      <w:i/>
      <w:iCs/>
      <w:color w:val="444444"/>
      <w:sz w:val="52"/>
      <w:szCs w:val="52"/>
    </w:rPr>
  </w:style>
  <w:style w:type="paragraph" w:styleId="a8">
    <w:name w:val="Intense Quote"/>
    <w:basedOn w:val="a"/>
    <w:next w:val="a"/>
    <w:link w:val="a7"/>
    <w:uiPriority w:val="30"/>
    <w:qFormat/>
    <w:rsid w:val="000B78F9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  <w:shd w:val="clear" w:color="auto" w:fill="EEEEEE"/>
      <w:ind w:left="567" w:right="567"/>
      <w:jc w:val="both"/>
    </w:pPr>
    <w:rPr>
      <w:b/>
      <w:bCs/>
      <w:i/>
      <w:iCs/>
      <w:color w:val="464646"/>
      <w:sz w:val="19"/>
      <w:szCs w:val="19"/>
    </w:rPr>
  </w:style>
  <w:style w:type="paragraph" w:styleId="a4">
    <w:name w:val="Title"/>
    <w:basedOn w:val="a"/>
    <w:next w:val="a"/>
    <w:link w:val="a3"/>
    <w:uiPriority w:val="10"/>
    <w:qFormat/>
    <w:rsid w:val="000B78F9"/>
    <w:pPr>
      <w:pBdr>
        <w:bottom w:val="single" w:sz="24" w:space="0" w:color="000000" w:themeColor="text1"/>
      </w:pBdr>
      <w:spacing w:before="300" w:after="80" w:line="240" w:lineRule="auto"/>
      <w:contextualSpacing/>
      <w:outlineLvl w:val="0"/>
    </w:pPr>
    <w:rPr>
      <w:b/>
      <w:bCs/>
      <w:color w:val="000000" w:themeColor="text1"/>
      <w:sz w:val="72"/>
      <w:szCs w:val="72"/>
    </w:rPr>
  </w:style>
  <w:style w:type="paragraph" w:styleId="af0">
    <w:name w:val="List Paragraph"/>
    <w:basedOn w:val="a"/>
    <w:uiPriority w:val="34"/>
    <w:qFormat/>
    <w:rsid w:val="000B78F9"/>
    <w:pPr>
      <w:ind w:left="720"/>
      <w:contextualSpacing/>
    </w:pPr>
  </w:style>
  <w:style w:type="character" w:styleId="af1">
    <w:name w:val="Strong"/>
    <w:basedOn w:val="a0"/>
    <w:uiPriority w:val="22"/>
    <w:qFormat/>
    <w:rsid w:val="00E621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316140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504000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389617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docs.cntd.ru/document/4203161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16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user</cp:lastModifiedBy>
  <cp:revision>2</cp:revision>
  <dcterms:created xsi:type="dcterms:W3CDTF">2023-10-16T12:24:00Z</dcterms:created>
  <dcterms:modified xsi:type="dcterms:W3CDTF">2023-10-16T12:46:00Z</dcterms:modified>
</cp:coreProperties>
</file>