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224272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1879E6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879E6" w:rsidRPr="001D0180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1879E6" w:rsidRPr="001D0180" w:rsidRDefault="001879E6" w:rsidP="001D0180"/>
                <w:p w:rsidR="001879E6" w:rsidRDefault="001879E6" w:rsidP="001D0180">
                  <w:pPr>
                    <w:rPr>
                      <w:sz w:val="40"/>
                      <w:szCs w:val="40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256F72" w:rsidRDefault="00256F7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1879E6" w:rsidRPr="00111DD2" w:rsidRDefault="00111DD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</w:t>
                  </w:r>
                  <w:r w:rsidR="00BC5FCD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1879E6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ГЕОГРАФИЯ</w:t>
                  </w:r>
                </w:p>
                <w:p w:rsidR="001879E6" w:rsidRPr="00420FF8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1879E6" w:rsidRPr="004C00E2" w:rsidRDefault="00237EA4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="001879E6"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Pr="00F14A20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1879E6" w:rsidRPr="00F14A20" w:rsidRDefault="00BC5FCD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</w:t>
                  </w:r>
                  <w:r w:rsidR="007346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960D8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0</w:t>
                  </w:r>
                  <w:bookmarkStart w:id="0" w:name="_GoBack"/>
                  <w:bookmarkEnd w:id="0"/>
                  <w:r w:rsidR="001879E6"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Pr="00A8326B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Pr="00411BB8" w:rsidRDefault="001879E6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1879E6" w:rsidRDefault="001879E6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960D8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960D8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960D8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960D82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3414E0">
        <w:rPr>
          <w:b w:val="0"/>
          <w:sz w:val="28"/>
          <w:szCs w:val="28"/>
        </w:rPr>
        <w:t xml:space="preserve">                             4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E572BC">
        <w:rPr>
          <w:b w:val="0"/>
          <w:sz w:val="28"/>
          <w:szCs w:val="28"/>
        </w:rPr>
        <w:t>8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3414E0">
        <w:rPr>
          <w:b w:val="0"/>
          <w:sz w:val="28"/>
          <w:szCs w:val="28"/>
        </w:rPr>
        <w:t xml:space="preserve">                             </w:t>
      </w:r>
      <w:r w:rsidRPr="003414E0">
        <w:rPr>
          <w:b w:val="0"/>
          <w:sz w:val="28"/>
          <w:szCs w:val="28"/>
        </w:rPr>
        <w:t xml:space="preserve">        </w:t>
      </w:r>
      <w:r w:rsidR="007144C5" w:rsidRPr="003414E0">
        <w:rPr>
          <w:b w:val="0"/>
          <w:sz w:val="28"/>
          <w:szCs w:val="28"/>
        </w:rPr>
        <w:t>2</w:t>
      </w:r>
      <w:r w:rsidR="00F8572D">
        <w:rPr>
          <w:b w:val="0"/>
          <w:sz w:val="28"/>
          <w:szCs w:val="28"/>
        </w:rPr>
        <w:t>3</w:t>
      </w:r>
    </w:p>
    <w:p w:rsidR="000E2B81" w:rsidRPr="003414E0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3414E0">
        <w:rPr>
          <w:b w:val="0"/>
          <w:sz w:val="28"/>
          <w:szCs w:val="28"/>
        </w:rPr>
        <w:t xml:space="preserve">Контроль и оценка результатов освоения учебной дисциплины    </w:t>
      </w:r>
      <w:r w:rsidR="003414E0">
        <w:rPr>
          <w:b w:val="0"/>
          <w:sz w:val="28"/>
          <w:szCs w:val="28"/>
        </w:rPr>
        <w:t xml:space="preserve">   </w:t>
      </w:r>
      <w:r w:rsidR="00F8572D">
        <w:rPr>
          <w:b w:val="0"/>
          <w:sz w:val="28"/>
          <w:szCs w:val="28"/>
        </w:rPr>
        <w:t>25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588F">
        <w:rPr>
          <w:sz w:val="28"/>
          <w:szCs w:val="28"/>
        </w:rPr>
        <w:t>4</w:t>
      </w:r>
      <w:r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1D40FE" w:rsidRPr="005815CB" w:rsidRDefault="001D0180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1D40FE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1D40FE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географической науке, ее участии 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наблюдений за отдельными географическими объектами, процессами и явлениями, их изменениями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ладение умениями географического анализа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1D40FE" w:rsidRPr="005815CB" w:rsidRDefault="001D40FE" w:rsidP="001D40FE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1.5. Место учебной дисциплины в учебном плане:</w:t>
      </w:r>
      <w:r w:rsidRPr="005815CB">
        <w:rPr>
          <w:b w:val="0"/>
          <w:sz w:val="28"/>
          <w:szCs w:val="28"/>
        </w:rPr>
        <w:t xml:space="preserve"> общеобразовательный цикл.</w:t>
      </w:r>
    </w:p>
    <w:p w:rsidR="001D40FE" w:rsidRDefault="001D40FE" w:rsidP="001D40FE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Учебная дисциплина относится к предметной области  общественные науки и является дисциплиной по выбору из обязательных предметных областей общеобразовательного цикла.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>
        <w:rPr>
          <w:rFonts w:eastAsia="SchoolBookCSanPin-Regular"/>
          <w:sz w:val="28"/>
          <w:szCs w:val="28"/>
        </w:rPr>
        <w:t>6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Pr="000440E9">
        <w:rPr>
          <w:b w:val="0"/>
          <w:sz w:val="28"/>
          <w:szCs w:val="28"/>
        </w:rPr>
        <w:t>Тема 1.4. География населения мира</w:t>
      </w:r>
      <w:r>
        <w:rPr>
          <w:b w:val="0"/>
          <w:sz w:val="28"/>
          <w:szCs w:val="28"/>
        </w:rPr>
        <w:t xml:space="preserve"> – 6 часов.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>
        <w:rPr>
          <w:b w:val="0"/>
          <w:sz w:val="28"/>
          <w:szCs w:val="28"/>
        </w:rPr>
        <w:t>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3.Тема 1.</w:t>
      </w:r>
      <w:r w:rsidR="001D40FE" w:rsidRPr="000440E9">
        <w:rPr>
          <w:b w:val="0"/>
          <w:sz w:val="28"/>
          <w:szCs w:val="28"/>
        </w:rPr>
        <w:t xml:space="preserve">8. Географические аспекты современных глобальных проблем человечества </w:t>
      </w:r>
      <w:r w:rsidR="001D40FE">
        <w:rPr>
          <w:b w:val="0"/>
          <w:sz w:val="28"/>
          <w:szCs w:val="28"/>
        </w:rPr>
        <w:t>– 4часа.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5815C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</w:t>
      </w:r>
      <w:r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Pr="005815CB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1D40FE" w:rsidRPr="005815CB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70379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ОУД.14 География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26"/>
        <w:gridCol w:w="6"/>
        <w:gridCol w:w="7723"/>
        <w:gridCol w:w="2140"/>
        <w:gridCol w:w="2144"/>
      </w:tblGrid>
      <w:tr w:rsidR="000E2B81" w:rsidRPr="005815CB" w:rsidTr="00CD1837">
        <w:tc>
          <w:tcPr>
            <w:tcW w:w="3149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8155" w:type="dxa"/>
            <w:gridSpan w:val="3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2140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2144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CD1837">
        <w:tc>
          <w:tcPr>
            <w:tcW w:w="3149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8155" w:type="dxa"/>
            <w:gridSpan w:val="3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2140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214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0E2B81" w:rsidRPr="005815CB" w:rsidTr="00CD1837">
        <w:tc>
          <w:tcPr>
            <w:tcW w:w="3149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8155" w:type="dxa"/>
            <w:gridSpan w:val="3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0E2B81" w:rsidRPr="005815CB" w:rsidRDefault="00B87EA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CD1837">
        <w:tc>
          <w:tcPr>
            <w:tcW w:w="3149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153CCE" w:rsidRPr="005815CB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географии</w:t>
            </w:r>
          </w:p>
          <w:p w:rsidR="00153CCE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1A4E79" w:rsidRPr="001A4E79" w:rsidRDefault="001A4E79" w:rsidP="00DB622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CD1837">
        <w:trPr>
          <w:trHeight w:val="255"/>
        </w:trPr>
        <w:tc>
          <w:tcPr>
            <w:tcW w:w="3149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0" w:type="dxa"/>
          </w:tcPr>
          <w:p w:rsidR="00153CCE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545FE4">
        <w:trPr>
          <w:trHeight w:val="1656"/>
        </w:trPr>
        <w:tc>
          <w:tcPr>
            <w:tcW w:w="3149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  <w:tcBorders>
              <w:bottom w:val="single" w:sz="4" w:space="0" w:color="auto"/>
            </w:tcBorders>
          </w:tcPr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 w:val="restart"/>
          </w:tcPr>
          <w:p w:rsidR="00E36A3D" w:rsidRPr="005815CB" w:rsidRDefault="00363E3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E36A3D" w:rsidRPr="005815CB" w:rsidTr="00CD1837">
        <w:tc>
          <w:tcPr>
            <w:tcW w:w="3149" w:type="dxa"/>
            <w:vMerge/>
          </w:tcPr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E36A3D" w:rsidRPr="005815CB" w:rsidRDefault="00E36A3D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2140" w:type="dxa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CD1837">
        <w:tc>
          <w:tcPr>
            <w:tcW w:w="3149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</w:tc>
        <w:tc>
          <w:tcPr>
            <w:tcW w:w="8155" w:type="dxa"/>
            <w:gridSpan w:val="3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F43228" w:rsidRPr="005815CB" w:rsidRDefault="00F43228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типы стран по уровню социально-экономического развития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F43228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 государственного устройства в различных регионах мира</w:t>
            </w:r>
          </w:p>
          <w:p w:rsidR="001A4E79" w:rsidRPr="001A4E79" w:rsidRDefault="001A4E7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CD1837">
        <w:trPr>
          <w:trHeight w:val="265"/>
        </w:trPr>
        <w:tc>
          <w:tcPr>
            <w:tcW w:w="3149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46F3B" w:rsidRPr="005815CB" w:rsidTr="00CD1837">
        <w:trPr>
          <w:trHeight w:val="280"/>
        </w:trPr>
        <w:tc>
          <w:tcPr>
            <w:tcW w:w="3149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2140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E46F3B" w:rsidRPr="005815CB" w:rsidTr="00CD1837">
        <w:tc>
          <w:tcPr>
            <w:tcW w:w="3149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E46F3B" w:rsidRPr="005815CB" w:rsidRDefault="00E46F3B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2140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CD1837">
        <w:trPr>
          <w:trHeight w:val="841"/>
        </w:trPr>
        <w:tc>
          <w:tcPr>
            <w:tcW w:w="3149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F43228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Pr="005815CB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 направления </w:t>
            </w:r>
            <w:proofErr w:type="spellStart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F43228" w:rsidRPr="005815CB" w:rsidRDefault="00F4785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F43228" w:rsidRPr="008D1F56" w:rsidRDefault="00F43228" w:rsidP="008D1F5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чных видов минеральных ресурсов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обеспеченность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 отдельных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регионов и стран мира;</w:t>
            </w:r>
          </w:p>
          <w:p w:rsidR="00F43228" w:rsidRDefault="00F4785A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1A4E79" w:rsidRPr="001A4E79" w:rsidRDefault="001A4E7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CD1837">
        <w:trPr>
          <w:trHeight w:val="306"/>
        </w:trPr>
        <w:tc>
          <w:tcPr>
            <w:tcW w:w="3149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CD1837">
        <w:trPr>
          <w:trHeight w:val="274"/>
        </w:trPr>
        <w:tc>
          <w:tcPr>
            <w:tcW w:w="3149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 xml:space="preserve">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2140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3</w:t>
            </w: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864494" w:rsidRDefault="00864494" w:rsidP="0086449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CD1837">
        <w:tc>
          <w:tcPr>
            <w:tcW w:w="3149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2F1A1E" w:rsidRPr="005815CB" w:rsidRDefault="002F1A1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  <w:p w:rsidR="002F1A1E" w:rsidRPr="005815CB" w:rsidRDefault="002F1A1E" w:rsidP="005815CB">
            <w:pPr>
              <w:spacing w:before="120"/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2140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CD1837">
        <w:tc>
          <w:tcPr>
            <w:tcW w:w="3149" w:type="dxa"/>
            <w:vMerge w:val="restart"/>
          </w:tcPr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</w:p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A71571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примеры стран с однородным и наиболее разнородным расовым, этническим и религиозным </w:t>
            </w:r>
            <w:r w:rsidR="006A6F8D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населения;</w:t>
            </w:r>
          </w:p>
          <w:p w:rsidR="00A71571" w:rsidRDefault="0069038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причин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ы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современных международных миграций населения.</w:t>
            </w:r>
          </w:p>
          <w:p w:rsidR="001A4E79" w:rsidRPr="001A4E79" w:rsidRDefault="001A4E7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CD1837">
        <w:trPr>
          <w:trHeight w:val="299"/>
        </w:trPr>
        <w:tc>
          <w:tcPr>
            <w:tcW w:w="3149" w:type="dxa"/>
            <w:vMerge/>
          </w:tcPr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A71571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6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50C7A" w:rsidRPr="005815CB" w:rsidTr="00CD1837">
        <w:trPr>
          <w:trHeight w:val="4968"/>
        </w:trPr>
        <w:tc>
          <w:tcPr>
            <w:tcW w:w="3149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2140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144" w:type="dxa"/>
            <w:vMerge w:val="restart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350C7A" w:rsidRPr="005815CB" w:rsidTr="00CD1837">
        <w:tc>
          <w:tcPr>
            <w:tcW w:w="3149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350C7A" w:rsidRPr="005815CB" w:rsidRDefault="00350C7A" w:rsidP="005815C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350C7A" w:rsidRPr="002F402A" w:rsidRDefault="00350C7A" w:rsidP="002F402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2140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CD1837">
        <w:tc>
          <w:tcPr>
            <w:tcW w:w="3149" w:type="dxa"/>
            <w:vMerge w:val="restart"/>
          </w:tcPr>
          <w:p w:rsidR="007877FF" w:rsidRPr="005815CB" w:rsidRDefault="007877FF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1A4E79" w:rsidRPr="001A4E79" w:rsidRDefault="001A4E7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CD1837">
        <w:trPr>
          <w:trHeight w:val="263"/>
        </w:trPr>
        <w:tc>
          <w:tcPr>
            <w:tcW w:w="3149" w:type="dxa"/>
            <w:vMerge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7877FF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18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CD1837">
        <w:trPr>
          <w:trHeight w:val="317"/>
        </w:trPr>
        <w:tc>
          <w:tcPr>
            <w:tcW w:w="3149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7723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140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144" w:type="dxa"/>
            <w:vMerge w:val="restart"/>
          </w:tcPr>
          <w:p w:rsidR="001943E6" w:rsidRPr="005815CB" w:rsidRDefault="001943E6" w:rsidP="001943E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МП2, МП6, П4, П7</w:t>
            </w: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CD1837">
        <w:trPr>
          <w:trHeight w:val="200"/>
        </w:trPr>
        <w:tc>
          <w:tcPr>
            <w:tcW w:w="3149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7723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2140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CD1837">
        <w:trPr>
          <w:trHeight w:val="246"/>
        </w:trPr>
        <w:tc>
          <w:tcPr>
            <w:tcW w:w="3149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7723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География отраслей вторичной сферы мирового </w:t>
            </w: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lastRenderedPageBreak/>
              <w:t>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2140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2144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CD1837">
        <w:trPr>
          <w:trHeight w:val="246"/>
        </w:trPr>
        <w:tc>
          <w:tcPr>
            <w:tcW w:w="3149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7723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2140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CD1837">
        <w:tc>
          <w:tcPr>
            <w:tcW w:w="3149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особенностей размещения различных отраслей мирового хозяйства.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2140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0F8A" w:rsidRPr="005815CB" w:rsidTr="00CD1837">
        <w:trPr>
          <w:trHeight w:val="251"/>
        </w:trPr>
        <w:tc>
          <w:tcPr>
            <w:tcW w:w="3149" w:type="dxa"/>
            <w:vMerge w:val="restart"/>
          </w:tcPr>
          <w:p w:rsidR="00AB0F8A" w:rsidRPr="005815CB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</w:t>
            </w:r>
            <w:r w:rsidR="008E77AB" w:rsidRPr="005815CB">
              <w:rPr>
                <w:sz w:val="28"/>
                <w:szCs w:val="28"/>
              </w:rPr>
              <w:t>1.</w:t>
            </w:r>
            <w:r w:rsidRPr="005815CB">
              <w:rPr>
                <w:sz w:val="28"/>
                <w:szCs w:val="28"/>
              </w:rPr>
              <w:t xml:space="preserve">6. </w:t>
            </w:r>
          </w:p>
          <w:p w:rsidR="00AB0F8A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9242FF" w:rsidRDefault="009242FF" w:rsidP="005815CB">
            <w:pPr>
              <w:jc w:val="both"/>
              <w:rPr>
                <w:sz w:val="28"/>
                <w:szCs w:val="28"/>
              </w:rPr>
            </w:pPr>
          </w:p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6C6138" w:rsidRPr="005815CB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6C6138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1A4E79" w:rsidRPr="001A4E79" w:rsidRDefault="001A4E7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12799" w:rsidRPr="005815CB" w:rsidTr="00CD1837">
        <w:trPr>
          <w:trHeight w:val="251"/>
        </w:trPr>
        <w:tc>
          <w:tcPr>
            <w:tcW w:w="3149" w:type="dxa"/>
            <w:vMerge/>
          </w:tcPr>
          <w:p w:rsidR="00B12799" w:rsidRPr="005815CB" w:rsidRDefault="00B12799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12799" w:rsidRPr="005815CB" w:rsidRDefault="006C613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0" w:type="dxa"/>
          </w:tcPr>
          <w:p w:rsidR="00B12799" w:rsidRPr="005815CB" w:rsidRDefault="006C6138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12799" w:rsidRPr="005815CB" w:rsidRDefault="00B1279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540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29" w:type="dxa"/>
            <w:gridSpan w:val="2"/>
          </w:tcPr>
          <w:p w:rsidR="00D35EDB" w:rsidRPr="005815CB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9242FF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хозяйства.</w:t>
            </w:r>
          </w:p>
          <w:p w:rsidR="00E05350" w:rsidRPr="005815CB" w:rsidRDefault="00E05350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9242FF" w:rsidRPr="006C6138" w:rsidRDefault="006C6138" w:rsidP="006C613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6</w:t>
            </w: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D35EDB" w:rsidRPr="005815CB" w:rsidRDefault="00D35EDB" w:rsidP="00D35ED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Pr="005815CB" w:rsidRDefault="009242FF" w:rsidP="00D63C66">
            <w:pPr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882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7729" w:type="dxa"/>
            <w:gridSpan w:val="2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44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563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29" w:type="dxa"/>
            <w:gridSpan w:val="2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Африки в мире. Особенности географического положения региона.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882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729" w:type="dxa"/>
            <w:gridSpan w:val="2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США. Условия их формирования и развития. Особенности политической системы.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44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882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729" w:type="dxa"/>
            <w:gridSpan w:val="2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144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CD1837">
        <w:trPr>
          <w:trHeight w:val="882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729" w:type="dxa"/>
            <w:gridSpan w:val="2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144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D63C66">
        <w:trPr>
          <w:trHeight w:val="1233"/>
        </w:trPr>
        <w:tc>
          <w:tcPr>
            <w:tcW w:w="3149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9242FF" w:rsidRPr="005815CB" w:rsidRDefault="009242FF" w:rsidP="005815CB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9242FF" w:rsidRPr="00F729AC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2140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CD1837">
        <w:tc>
          <w:tcPr>
            <w:tcW w:w="3149" w:type="dxa"/>
            <w:vMerge w:val="restart"/>
          </w:tcPr>
          <w:p w:rsidR="00F22006" w:rsidRPr="005815CB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1.7. </w:t>
            </w:r>
          </w:p>
          <w:p w:rsidR="00F22006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335114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F22006" w:rsidRPr="005815CB" w:rsidRDefault="00335114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F22006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1A4E79" w:rsidRPr="001A4E79" w:rsidRDefault="001A4E7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CD1837">
        <w:trPr>
          <w:trHeight w:val="182"/>
        </w:trPr>
        <w:tc>
          <w:tcPr>
            <w:tcW w:w="3149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F22006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CD1837">
        <w:trPr>
          <w:trHeight w:val="2208"/>
        </w:trPr>
        <w:tc>
          <w:tcPr>
            <w:tcW w:w="3149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2140" w:type="dxa"/>
          </w:tcPr>
          <w:p w:rsidR="00F22006" w:rsidRPr="005815CB" w:rsidRDefault="0070379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</w:tcPr>
          <w:p w:rsidR="00F22006" w:rsidRPr="005815CB" w:rsidRDefault="00B96EA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AB4629" w:rsidRPr="005815CB" w:rsidTr="00CD1837">
        <w:tc>
          <w:tcPr>
            <w:tcW w:w="3149" w:type="dxa"/>
            <w:vMerge w:val="restart"/>
          </w:tcPr>
          <w:p w:rsidR="00AB4629" w:rsidRPr="005815CB" w:rsidRDefault="00AB462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8155" w:type="dxa"/>
            <w:gridSpan w:val="3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AB4629" w:rsidRDefault="00AB46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1A4E79" w:rsidRPr="001A4E79" w:rsidRDefault="001A4E7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4629" w:rsidRPr="005815CB" w:rsidTr="00CD1837">
        <w:trPr>
          <w:trHeight w:val="346"/>
        </w:trPr>
        <w:tc>
          <w:tcPr>
            <w:tcW w:w="3149" w:type="dxa"/>
            <w:vMerge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AB4629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F76DF" w:rsidRPr="005815CB" w:rsidTr="00CD1837">
        <w:trPr>
          <w:trHeight w:val="1407"/>
        </w:trPr>
        <w:tc>
          <w:tcPr>
            <w:tcW w:w="3149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2140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7F76DF" w:rsidRPr="005815CB" w:rsidRDefault="0037798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7F76DF" w:rsidRPr="005815CB" w:rsidTr="00CD1837">
        <w:tc>
          <w:tcPr>
            <w:tcW w:w="3149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7F76DF" w:rsidRPr="005815CB" w:rsidRDefault="007F76DF" w:rsidP="005815CB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2140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97BFA" w:rsidRPr="00D23D3A" w:rsidTr="00CD1837">
        <w:tc>
          <w:tcPr>
            <w:tcW w:w="11304" w:type="dxa"/>
            <w:gridSpan w:val="4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2140" w:type="dxa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CD1837">
        <w:tc>
          <w:tcPr>
            <w:tcW w:w="11304" w:type="dxa"/>
            <w:gridSpan w:val="4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2140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Европы по площади тер-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ритории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численности населения и уровню экономическо-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крупнейшие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7. Россия в современном 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профиля. Дидактические материалы: учебное пособие для студ. учреждений 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ред</w:t>
      </w:r>
      <w:proofErr w:type="gramStart"/>
      <w:r w:rsidR="00FD1972">
        <w:rPr>
          <w:rFonts w:eastAsia="SchoolBookCSanPin-Regular"/>
          <w:b w:val="0"/>
          <w:sz w:val="28"/>
          <w:szCs w:val="28"/>
          <w:lang w:eastAsia="en-US"/>
        </w:rPr>
        <w:t>.п</w:t>
      </w:r>
      <w:proofErr w:type="gramEnd"/>
      <w:r w:rsidR="00FD1972"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 w:rsidR="00FD1972">
        <w:rPr>
          <w:rFonts w:eastAsia="SchoolBookCSanPin-Regular"/>
          <w:b w:val="0"/>
          <w:sz w:val="28"/>
          <w:szCs w:val="28"/>
          <w:lang w:eastAsia="en-US"/>
        </w:rPr>
        <w:t>. образования.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</w:t>
      </w:r>
      <w:r w:rsidR="00FD1972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</w:t>
      </w:r>
      <w:r w:rsidR="00373884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</w:t>
      </w:r>
      <w:r w:rsidR="0076648D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</w:t>
      </w:r>
      <w:r w:rsidR="0076648D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: в 2 ч. 10—11 классы. — М.: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профиля: Мето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дические рекомендации.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ебалина</w:t>
      </w:r>
      <w:proofErr w:type="spellEnd"/>
      <w:r w:rsidR="006E77E6"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 w:rsidR="006E77E6"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 w:rsidR="006E77E6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 w:rsidR="006E77E6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="006E77E6">
        <w:rPr>
          <w:rFonts w:eastAsia="SchoolBookCSanPin-Regular"/>
          <w:b w:val="0"/>
          <w:sz w:val="28"/>
          <w:szCs w:val="28"/>
          <w:lang w:eastAsia="en-US"/>
        </w:rPr>
        <w:t>., 2019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для детей. Культуры мира: мультимедийное при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 xml:space="preserve">ложение (компакт-диск). </w:t>
      </w:r>
      <w:proofErr w:type="gramStart"/>
      <w:r w:rsidR="006E77E6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="006E77E6">
        <w:rPr>
          <w:rFonts w:eastAsia="SchoolBookCSanPin-Regular"/>
          <w:b w:val="0"/>
          <w:sz w:val="28"/>
          <w:szCs w:val="28"/>
          <w:lang w:eastAsia="en-US"/>
        </w:rPr>
        <w:t>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60394" w:rsidRPr="000D42EA" w:rsidRDefault="00DC4D9D" w:rsidP="005815CB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</w:t>
      </w:r>
      <w:r w:rsidR="006E77E6">
        <w:rPr>
          <w:rFonts w:eastAsia="SchoolBookCSanPin-Regular"/>
          <w:b w:val="0"/>
          <w:sz w:val="28"/>
          <w:szCs w:val="28"/>
          <w:lang w:eastAsia="en-US"/>
        </w:rPr>
        <w:t>л. ред. Н. А. Симония. — М., 2020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0D42EA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Default="00E60394" w:rsidP="005815CB">
      <w:pPr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3D55D7" w:rsidRDefault="003D55D7" w:rsidP="005815CB">
      <w:pPr>
        <w:jc w:val="both"/>
        <w:rPr>
          <w:rFonts w:eastAsia="SchoolBookCSanPin-Regular"/>
          <w:b w:val="0"/>
          <w:sz w:val="22"/>
          <w:szCs w:val="22"/>
          <w:lang w:eastAsia="en-US"/>
        </w:rPr>
      </w:pPr>
    </w:p>
    <w:p w:rsidR="003D55D7" w:rsidRDefault="003D55D7" w:rsidP="005815CB">
      <w:pPr>
        <w:jc w:val="both"/>
        <w:rPr>
          <w:rFonts w:eastAsia="SchoolBookCSanPin-Regular"/>
          <w:b w:val="0"/>
          <w:sz w:val="22"/>
          <w:szCs w:val="22"/>
          <w:lang w:eastAsia="en-US"/>
        </w:rPr>
      </w:pPr>
    </w:p>
    <w:p w:rsidR="003D55D7" w:rsidRPr="000D42EA" w:rsidRDefault="003D55D7" w:rsidP="005815CB">
      <w:pPr>
        <w:jc w:val="both"/>
        <w:rPr>
          <w:b w:val="0"/>
          <w:sz w:val="22"/>
          <w:szCs w:val="22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086296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(Практическое занятие </w:t>
            </w:r>
            <w:r w:rsidRPr="005815CB">
              <w:rPr>
                <w:b w:val="0"/>
                <w:sz w:val="28"/>
                <w:szCs w:val="28"/>
              </w:rPr>
              <w:lastRenderedPageBreak/>
              <w:t>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72" w:rsidRDefault="00224272" w:rsidP="00042C21">
      <w:r>
        <w:separator/>
      </w:r>
    </w:p>
  </w:endnote>
  <w:endnote w:type="continuationSeparator" w:id="0">
    <w:p w:rsidR="00224272" w:rsidRDefault="00224272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79E6">
      <w:rPr>
        <w:rStyle w:val="a5"/>
        <w:noProof/>
      </w:rPr>
      <w:t>7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0D82">
      <w:rPr>
        <w:rStyle w:val="a5"/>
        <w:noProof/>
      </w:rPr>
      <w:t>2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72" w:rsidRDefault="00224272" w:rsidP="00042C21">
      <w:r>
        <w:separator/>
      </w:r>
    </w:p>
  </w:footnote>
  <w:footnote w:type="continuationSeparator" w:id="0">
    <w:p w:rsidR="00224272" w:rsidRDefault="00224272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1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21"/>
  </w:num>
  <w:num w:numId="7">
    <w:abstractNumId w:val="16"/>
  </w:num>
  <w:num w:numId="8">
    <w:abstractNumId w:val="12"/>
  </w:num>
  <w:num w:numId="9">
    <w:abstractNumId w:val="22"/>
  </w:num>
  <w:num w:numId="10">
    <w:abstractNumId w:val="5"/>
  </w:num>
  <w:num w:numId="11">
    <w:abstractNumId w:val="6"/>
  </w:num>
  <w:num w:numId="12">
    <w:abstractNumId w:val="24"/>
  </w:num>
  <w:num w:numId="13">
    <w:abstractNumId w:val="18"/>
  </w:num>
  <w:num w:numId="14">
    <w:abstractNumId w:val="15"/>
  </w:num>
  <w:num w:numId="15">
    <w:abstractNumId w:val="17"/>
  </w:num>
  <w:num w:numId="16">
    <w:abstractNumId w:val="11"/>
  </w:num>
  <w:num w:numId="17">
    <w:abstractNumId w:val="4"/>
  </w:num>
  <w:num w:numId="18">
    <w:abstractNumId w:val="14"/>
  </w:num>
  <w:num w:numId="19">
    <w:abstractNumId w:val="23"/>
  </w:num>
  <w:num w:numId="20">
    <w:abstractNumId w:val="20"/>
  </w:num>
  <w:num w:numId="21">
    <w:abstractNumId w:val="9"/>
  </w:num>
  <w:num w:numId="22">
    <w:abstractNumId w:val="19"/>
  </w:num>
  <w:num w:numId="23">
    <w:abstractNumId w:val="2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15F58"/>
    <w:rsid w:val="000338C4"/>
    <w:rsid w:val="00034030"/>
    <w:rsid w:val="000360BA"/>
    <w:rsid w:val="00042C21"/>
    <w:rsid w:val="0005165F"/>
    <w:rsid w:val="000561DF"/>
    <w:rsid w:val="00086296"/>
    <w:rsid w:val="00093EE2"/>
    <w:rsid w:val="000A3AE0"/>
    <w:rsid w:val="000A7826"/>
    <w:rsid w:val="000D42EA"/>
    <w:rsid w:val="000E2B81"/>
    <w:rsid w:val="000F4F57"/>
    <w:rsid w:val="001106DB"/>
    <w:rsid w:val="00111DD2"/>
    <w:rsid w:val="00127BFA"/>
    <w:rsid w:val="001506EA"/>
    <w:rsid w:val="00153CCE"/>
    <w:rsid w:val="00170E22"/>
    <w:rsid w:val="00176D54"/>
    <w:rsid w:val="0018447E"/>
    <w:rsid w:val="001879E6"/>
    <w:rsid w:val="00191C9C"/>
    <w:rsid w:val="001943E6"/>
    <w:rsid w:val="00195D28"/>
    <w:rsid w:val="00196BE1"/>
    <w:rsid w:val="00197621"/>
    <w:rsid w:val="001A0DDD"/>
    <w:rsid w:val="001A441B"/>
    <w:rsid w:val="001A4E79"/>
    <w:rsid w:val="001B4AEA"/>
    <w:rsid w:val="001B575E"/>
    <w:rsid w:val="001B5EBD"/>
    <w:rsid w:val="001D0180"/>
    <w:rsid w:val="001D40FE"/>
    <w:rsid w:val="001D55B8"/>
    <w:rsid w:val="001F408A"/>
    <w:rsid w:val="00207486"/>
    <w:rsid w:val="00214B2E"/>
    <w:rsid w:val="00224272"/>
    <w:rsid w:val="00224CF3"/>
    <w:rsid w:val="00237EA4"/>
    <w:rsid w:val="00240875"/>
    <w:rsid w:val="00247E49"/>
    <w:rsid w:val="00254F22"/>
    <w:rsid w:val="00256F72"/>
    <w:rsid w:val="00260C34"/>
    <w:rsid w:val="002620A9"/>
    <w:rsid w:val="00297B07"/>
    <w:rsid w:val="002A258C"/>
    <w:rsid w:val="002D20E4"/>
    <w:rsid w:val="002F1A1E"/>
    <w:rsid w:val="002F402A"/>
    <w:rsid w:val="002F44C8"/>
    <w:rsid w:val="0031449D"/>
    <w:rsid w:val="003217E4"/>
    <w:rsid w:val="00335114"/>
    <w:rsid w:val="003414E0"/>
    <w:rsid w:val="00350C7A"/>
    <w:rsid w:val="00363E3D"/>
    <w:rsid w:val="0037335A"/>
    <w:rsid w:val="00373884"/>
    <w:rsid w:val="00377988"/>
    <w:rsid w:val="00394728"/>
    <w:rsid w:val="003A6156"/>
    <w:rsid w:val="003B5EF7"/>
    <w:rsid w:val="003D3E58"/>
    <w:rsid w:val="003D55D7"/>
    <w:rsid w:val="003F311B"/>
    <w:rsid w:val="003F776F"/>
    <w:rsid w:val="00405323"/>
    <w:rsid w:val="00420FF8"/>
    <w:rsid w:val="00424B16"/>
    <w:rsid w:val="00474A71"/>
    <w:rsid w:val="00492388"/>
    <w:rsid w:val="004A6476"/>
    <w:rsid w:val="004C03E4"/>
    <w:rsid w:val="004F7CC0"/>
    <w:rsid w:val="00501521"/>
    <w:rsid w:val="00522AEA"/>
    <w:rsid w:val="00526CD1"/>
    <w:rsid w:val="00532ED4"/>
    <w:rsid w:val="005335DF"/>
    <w:rsid w:val="00542A05"/>
    <w:rsid w:val="005506A6"/>
    <w:rsid w:val="00552369"/>
    <w:rsid w:val="005602AE"/>
    <w:rsid w:val="00560630"/>
    <w:rsid w:val="00567209"/>
    <w:rsid w:val="005740CD"/>
    <w:rsid w:val="005815CB"/>
    <w:rsid w:val="005A001D"/>
    <w:rsid w:val="005C4E9A"/>
    <w:rsid w:val="005D55DB"/>
    <w:rsid w:val="00605715"/>
    <w:rsid w:val="00637B21"/>
    <w:rsid w:val="00642245"/>
    <w:rsid w:val="00644A01"/>
    <w:rsid w:val="006477F9"/>
    <w:rsid w:val="006620E5"/>
    <w:rsid w:val="006630D2"/>
    <w:rsid w:val="0068088D"/>
    <w:rsid w:val="006808F7"/>
    <w:rsid w:val="0069038C"/>
    <w:rsid w:val="006A4617"/>
    <w:rsid w:val="006A6F8D"/>
    <w:rsid w:val="006C6138"/>
    <w:rsid w:val="006D51FF"/>
    <w:rsid w:val="006D535E"/>
    <w:rsid w:val="006D59FA"/>
    <w:rsid w:val="006E4C85"/>
    <w:rsid w:val="006E77E6"/>
    <w:rsid w:val="006F11C4"/>
    <w:rsid w:val="006F7C54"/>
    <w:rsid w:val="00703791"/>
    <w:rsid w:val="00713843"/>
    <w:rsid w:val="00713A61"/>
    <w:rsid w:val="007144C5"/>
    <w:rsid w:val="00717190"/>
    <w:rsid w:val="007346C9"/>
    <w:rsid w:val="007540E2"/>
    <w:rsid w:val="00754BE4"/>
    <w:rsid w:val="00755D65"/>
    <w:rsid w:val="00760B0D"/>
    <w:rsid w:val="0076648D"/>
    <w:rsid w:val="00782146"/>
    <w:rsid w:val="007877FF"/>
    <w:rsid w:val="007A00B9"/>
    <w:rsid w:val="007A73A0"/>
    <w:rsid w:val="007C196F"/>
    <w:rsid w:val="007C3E01"/>
    <w:rsid w:val="007D691E"/>
    <w:rsid w:val="007E517B"/>
    <w:rsid w:val="007F76DF"/>
    <w:rsid w:val="00803F44"/>
    <w:rsid w:val="008058EF"/>
    <w:rsid w:val="00823FAD"/>
    <w:rsid w:val="008259A8"/>
    <w:rsid w:val="00847EFD"/>
    <w:rsid w:val="00864494"/>
    <w:rsid w:val="00870236"/>
    <w:rsid w:val="00872B6E"/>
    <w:rsid w:val="008775EA"/>
    <w:rsid w:val="00891116"/>
    <w:rsid w:val="00897BFA"/>
    <w:rsid w:val="008D1F56"/>
    <w:rsid w:val="008E77AB"/>
    <w:rsid w:val="008F3829"/>
    <w:rsid w:val="008F7100"/>
    <w:rsid w:val="009030CD"/>
    <w:rsid w:val="00916813"/>
    <w:rsid w:val="009242FF"/>
    <w:rsid w:val="0093504F"/>
    <w:rsid w:val="00960D82"/>
    <w:rsid w:val="00966BA0"/>
    <w:rsid w:val="00987CAC"/>
    <w:rsid w:val="0099616D"/>
    <w:rsid w:val="00996E53"/>
    <w:rsid w:val="00997B4B"/>
    <w:rsid w:val="009A36CC"/>
    <w:rsid w:val="009A41C5"/>
    <w:rsid w:val="009C1B93"/>
    <w:rsid w:val="009D1EF5"/>
    <w:rsid w:val="009D2648"/>
    <w:rsid w:val="00A63462"/>
    <w:rsid w:val="00A67677"/>
    <w:rsid w:val="00A71571"/>
    <w:rsid w:val="00A9537D"/>
    <w:rsid w:val="00AB0F8A"/>
    <w:rsid w:val="00AB4629"/>
    <w:rsid w:val="00AC706B"/>
    <w:rsid w:val="00B04620"/>
    <w:rsid w:val="00B06D61"/>
    <w:rsid w:val="00B12799"/>
    <w:rsid w:val="00B2588F"/>
    <w:rsid w:val="00B7555C"/>
    <w:rsid w:val="00B82430"/>
    <w:rsid w:val="00B8720B"/>
    <w:rsid w:val="00B87EA0"/>
    <w:rsid w:val="00B96EA9"/>
    <w:rsid w:val="00BB7D1A"/>
    <w:rsid w:val="00BC5FCD"/>
    <w:rsid w:val="00BD62C8"/>
    <w:rsid w:val="00C2469B"/>
    <w:rsid w:val="00C36F82"/>
    <w:rsid w:val="00C40B17"/>
    <w:rsid w:val="00C82C88"/>
    <w:rsid w:val="00CB5D98"/>
    <w:rsid w:val="00CD1837"/>
    <w:rsid w:val="00CE3F6F"/>
    <w:rsid w:val="00CF5CB1"/>
    <w:rsid w:val="00D02D6F"/>
    <w:rsid w:val="00D04D96"/>
    <w:rsid w:val="00D23D3A"/>
    <w:rsid w:val="00D35EDB"/>
    <w:rsid w:val="00D41ECB"/>
    <w:rsid w:val="00D47589"/>
    <w:rsid w:val="00D50B40"/>
    <w:rsid w:val="00D63C66"/>
    <w:rsid w:val="00D66503"/>
    <w:rsid w:val="00DB622D"/>
    <w:rsid w:val="00DC1135"/>
    <w:rsid w:val="00DC4D9D"/>
    <w:rsid w:val="00DE14A9"/>
    <w:rsid w:val="00E00873"/>
    <w:rsid w:val="00E039C8"/>
    <w:rsid w:val="00E05350"/>
    <w:rsid w:val="00E07ADF"/>
    <w:rsid w:val="00E12CD6"/>
    <w:rsid w:val="00E22D9E"/>
    <w:rsid w:val="00E36A3D"/>
    <w:rsid w:val="00E46F3B"/>
    <w:rsid w:val="00E51CA3"/>
    <w:rsid w:val="00E572BC"/>
    <w:rsid w:val="00E60394"/>
    <w:rsid w:val="00E645E4"/>
    <w:rsid w:val="00E65FC3"/>
    <w:rsid w:val="00E90827"/>
    <w:rsid w:val="00E90C81"/>
    <w:rsid w:val="00EA0780"/>
    <w:rsid w:val="00EC46A6"/>
    <w:rsid w:val="00EC7120"/>
    <w:rsid w:val="00ED56DE"/>
    <w:rsid w:val="00EE09E1"/>
    <w:rsid w:val="00EE141E"/>
    <w:rsid w:val="00EE651F"/>
    <w:rsid w:val="00EE74F7"/>
    <w:rsid w:val="00EE794E"/>
    <w:rsid w:val="00F00179"/>
    <w:rsid w:val="00F033A0"/>
    <w:rsid w:val="00F0378C"/>
    <w:rsid w:val="00F10A00"/>
    <w:rsid w:val="00F1540E"/>
    <w:rsid w:val="00F22006"/>
    <w:rsid w:val="00F24B2B"/>
    <w:rsid w:val="00F26EAD"/>
    <w:rsid w:val="00F43228"/>
    <w:rsid w:val="00F4785A"/>
    <w:rsid w:val="00F62EB5"/>
    <w:rsid w:val="00F729AC"/>
    <w:rsid w:val="00F7765B"/>
    <w:rsid w:val="00F8572D"/>
    <w:rsid w:val="00F936C1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26</Pages>
  <Words>6136</Words>
  <Characters>34980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169</cp:revision>
  <cp:lastPrinted>2020-12-17T13:37:00Z</cp:lastPrinted>
  <dcterms:created xsi:type="dcterms:W3CDTF">2015-09-24T16:25:00Z</dcterms:created>
  <dcterms:modified xsi:type="dcterms:W3CDTF">2022-11-29T17:27:00Z</dcterms:modified>
</cp:coreProperties>
</file>