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4B" w:rsidRPr="00B55C70" w:rsidRDefault="00E7474B" w:rsidP="00B55C70">
      <w:pPr>
        <w:spacing w:after="0" w:line="594" w:lineRule="atLeast"/>
        <w:jc w:val="center"/>
        <w:outlineLvl w:val="1"/>
        <w:rPr>
          <w:rFonts w:eastAsia="Times New Roman"/>
          <w:color w:val="444444"/>
          <w:sz w:val="40"/>
          <w:szCs w:val="40"/>
          <w:lang w:eastAsia="ru-RU"/>
        </w:rPr>
      </w:pPr>
      <w:bookmarkStart w:id="0" w:name="_GoBack"/>
      <w:r w:rsidRPr="00B55C70">
        <w:rPr>
          <w:rFonts w:eastAsia="Times New Roman"/>
          <w:color w:val="444444"/>
          <w:sz w:val="40"/>
          <w:szCs w:val="40"/>
          <w:lang w:eastAsia="ru-RU"/>
        </w:rPr>
        <w:br/>
        <w:t xml:space="preserve">Приказ </w:t>
      </w:r>
      <w:proofErr w:type="spellStart"/>
      <w:r w:rsidRPr="00B55C70">
        <w:rPr>
          <w:rFonts w:eastAsia="Times New Roman"/>
          <w:color w:val="444444"/>
          <w:sz w:val="40"/>
          <w:szCs w:val="40"/>
          <w:lang w:eastAsia="ru-RU"/>
        </w:rPr>
        <w:t>Минобрнауки</w:t>
      </w:r>
      <w:proofErr w:type="spellEnd"/>
      <w:r w:rsidRPr="00B55C70">
        <w:rPr>
          <w:rFonts w:eastAsia="Times New Roman"/>
          <w:color w:val="444444"/>
          <w:sz w:val="40"/>
          <w:szCs w:val="40"/>
          <w:lang w:eastAsia="ru-RU"/>
        </w:rPr>
        <w:t xml:space="preserve"> России от 19.12.2014 г. № 1598 «Об утверждении федерального государственного образовательного стандарта...»</w:t>
      </w:r>
    </w:p>
    <w:bookmarkEnd w:id="0"/>
    <w:p w:rsid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 УТВЕРЖДЕНИИ ФЕДЕРАЛЬНОГО ГОСУДАРСТВЕННОГО ОБРАЗОВАТЕЛЬНОГО СТАНДАРТА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Приказ Министерства образования и 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Зарегистрировано Министерством юстиции 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3 февраля 2015 г. Регистрационный № 35847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соответствии с </w:t>
      </w:r>
      <w:hyperlink r:id="rId6" w:anchor="st11_6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частью 6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4263), </w:t>
      </w:r>
      <w:hyperlink r:id="rId7" w:anchor="p5.2.41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подпунктом 5.2.41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3776) и </w:t>
      </w:r>
      <w:hyperlink r:id="rId8" w:anchor="p1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пунктом 17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Федерации от 5 августа 2013 г. № 661 (Собрание законодательства Российской Федерации, 2013, № 3, ст. 4377; 2014, № 38, ст. 5096),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приказываю: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ограниченными возможностями здоровья (далее – Стандарт).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 Установить, что: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 применяется к правоотношениям, возникшим с 1 сентября 2016 года;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обучение лиц, зачисленных до 1 сентября 2016 г.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 адаптированным образовательным программам, осуществляется по ним до завершения обучения.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Министр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Д.В. ЛИВАНОВ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Приложение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Утвержден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приказом Министерства образования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и 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ФЕДЕРАЛЬНЫЙ ГОСУДАРСТВЕННЫЙ ОБРАЗОВАТЕЛЬНЫЙ СТАНДАРТ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I. Общие положения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 (далее – организация).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– обучающиеся с ОВЗ).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– НОО) в форме семейного образования, а также на дому или в медицинских организациях.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1.2. Стандарт разработан на основе </w:t>
      </w:r>
      <w:hyperlink r:id="rId9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Конституции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&lt;1&gt; и законодательства Российской Федерации с учетом Конвенц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ии ОО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0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Конституция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30, ст. 4202).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1.3. Станда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рт вкл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ючает в себя требования к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1" w:anchor="st11_3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условиям реализации АООП НОО, в том числе кадровым, финансовым, материально-техническим и иным условиям;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результатам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установленным требованиям.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1.6. В основу Стандарта для обучающихся с ОВЗ положены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деятельностный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дифференцированный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подходы, осуществление которых предполагает: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признание того, что развитие личности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зависит от характера организации доступной им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познавательных мотивов, обогащение форм взаимодействия со сверстниками и взрослыми в познавательной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для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примерных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АООП НОО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и реализации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определения требований к результатам освоения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проведения текущей и промежуточной аттестации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осуществления внутреннего мониторинга качества образования в организации;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1.8. Стандарт направлен на решение следующих задач образования обучающихся с ОВЗ: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основ гражданской идентичности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мировоззрения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основ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2" w:anchor="st79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 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на основе комплексной оценки личностных,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предметных результатов освоения АООП НОО, заключения психолого-медико-педагогической комиссии (далее – ПМПК) и мнения родителей (законных представителей).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II. Требования к структуре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– ИПР) инвалида в части создания специальных условий получения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2.2.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3" w:anchor="st12_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Части 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и </w:t>
      </w:r>
      <w:hyperlink r:id="rId14" w:anchor="st12_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7 статьи 12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5" w:anchor="st2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23 статьи 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6" w:anchor="st79_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4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2.5. Для обеспечения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возможно использование сетевой формы. &lt;1&gt;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7" w:anchor="st1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Статья 15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№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2.7. АООП НОО реализуется организацией через организацию урочной и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2.8. АООП НОО должна содержать три раздела: целевой, содержательный и организационный.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пояснительную записку;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оценки достижения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№№ 1–8 к настоящему Стандарту: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универсальных учебных действий у обучающихся (в зависимости от варианта АООП НОО – базовых учебных действий) в соответствии с приложениями №№ 1–8 к настоящему Стандарту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программу духовно-нравственного развития, воспитания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 получении НОО (в зависимости от варианта АООП НОО – нравственного развития, воспитания обучающихся с ОВЗ в соответствии с приложениями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коррекционной работы;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специальных условий реализации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Учебный план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(далее – Учебный план) является основным организационным механизмом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 Требования к разделам АООП НОО: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2.9.1. Пояснительная записка должна раскрывать: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к результатам освоения обучающимися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принципы и подходы к формированию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общую характеристику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4) психолого-педагогическую характеристику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5) описание особых образовательных потребностей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2.9.2. Планируемые результаты освоения АООП НОО должны: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являться основой для разработки АООП НОО организациями;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3) являться содержательной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критериальной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может включать как один, так и несколько учебных планов.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включает предметные области в зависимости от вариантов АООП НОО, указанных в приложениях №№ 1–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Количество учебных занятий по предметным областям за 4 учебных года не может составлять более 3 039 часов, за 5 учебных лет – более 3 821 часа, за 6 учебных лет – более 4 603 часов.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учебные занятия,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введение учебных курсов для факультативного изучения отдельных учебных предметов.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2.9.4. Программа формирования универсальных учебных действий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у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 при получении НОО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ценностных ориентиров содержания образования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связь универсальных учебных действий с содержанием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от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дошкольного к начальному общему образованию.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требований к результатам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формирования универсальных (базовых) учебных действий.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должны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общую характеристику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описание места учебного предмета, коррекционного курса в учебном плане;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4) описание ценностных ориентиров содержания учебного предмета;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5) личностные,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личностные и предметные результаты, указанные в приложениях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6) содержание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8) описание материально-технического обеспечения образовательного процесса.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2.9.6.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развития (или нравственного развития), указанная в приложениях №№ 1–8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создание системы воспитательных мероприятий, позволяющих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обучающемуся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осваивать и на практике использовать полученные знания;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включать: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8" w:anchor="p19.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19.7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– ФГОС НОО).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пробуждение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здоровьесберегающего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познавательного интереса и бережного отношения к природе;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установок на использование здорового питания;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здоровьесозидающих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режимов дня;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негативного отношения к факторам риска здоровью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становление умений противостояния вовлечению 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табакокурение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употребление алкоголя, наркотических и сильнодействующих веществ.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2.9.8. Программа коррекционной работы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коррекционной работы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корректировку коррекционных мероприятий.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2.9.9.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Обучающийся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имеет право на прохождение текущей, промежуточной и итоговой аттестации в иных формах.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2.9.10. В зависимости от варианта АООП НОО программа внеурочной деятельности включает направления развития личности, указанные в приложениях № №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Организация самостоятельно разрабатывает и утверждает 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2.9.11. Система условий реализации АООП НОО в соответствии с требованиями Стандарта (далее –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состоянием системы условий.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в АООП НОО предусматриваются: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учебные курсы,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внеурочная деятельность.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2.13.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III. Требования к условиям реализации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9" w:anchor="st11_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 части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3.3. Организация создает условия для реализации АООП НОО, обеспечивающие возможность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20" w:anchor="p2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достижения планируемых результатов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выявления и развития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способностей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потребностей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 Требования к кадровым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указанных в приложениях №№ 1–8 к настоящему Стандарту. При необходимости в процессе реализации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возможно временное или постоянное участие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тьютора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(или) ассистента (помощника).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 процессе психолого-медико-педагогического сопровождения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информационную поддержку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 Требования к финансовым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Финансовые условия реализации АООП НОО должны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21" w:anchor="p2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24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 на оплату труда работников, реализующих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групп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 Требования к материально-техническим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временного режима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техническим средствам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флеш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-тренажеров, инструментов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wiki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вправе применять дистанционные образовательные технологии.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3.6.2. Пространство, в котором осуществляется образование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соблюдения санитарно-гигиенических норм организации образовательного процесса;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обеспечения санитарно-бытовых и социально-бытовых условий;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пожарной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электробезопасности;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требований охраны труда;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 Требования к результатам освоения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4.1. Стандарт устанавливает требования к личностным,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метапредметным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предметным результатам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разных вариантов АООП НОО, указанных в приложениях №№ 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мотивации к обучению и познанию.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4.3. </w:t>
      </w: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межпредметными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4.4. 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4.6. Итоговая оценка качества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осуществляется организацией.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– предметных результатов) и достижение результатов освоения программы коррекционной работы в соответствии с приложениями №№ 1–8 к настоящему Стандарту.</w:t>
      </w:r>
    </w:p>
    <w:p w:rsidR="00545408" w:rsidRDefault="0054540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545408" w:rsidSect="0054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798">
    <w:multiLevelType w:val="hybridMultilevel"/>
    <w:lvl w:ilvl="0" w:tplc="53563931">
      <w:start w:val="1"/>
      <w:numFmt w:val="decimal"/>
      <w:lvlText w:val="%1."/>
      <w:lvlJc w:val="left"/>
      <w:pPr>
        <w:ind w:left="720" w:hanging="360"/>
      </w:pPr>
    </w:lvl>
    <w:lvl w:ilvl="1" w:tplc="53563931" w:tentative="1">
      <w:start w:val="1"/>
      <w:numFmt w:val="lowerLetter"/>
      <w:lvlText w:val="%2."/>
      <w:lvlJc w:val="left"/>
      <w:pPr>
        <w:ind w:left="1440" w:hanging="360"/>
      </w:pPr>
    </w:lvl>
    <w:lvl w:ilvl="2" w:tplc="53563931" w:tentative="1">
      <w:start w:val="1"/>
      <w:numFmt w:val="lowerRoman"/>
      <w:lvlText w:val="%3."/>
      <w:lvlJc w:val="right"/>
      <w:pPr>
        <w:ind w:left="2160" w:hanging="180"/>
      </w:pPr>
    </w:lvl>
    <w:lvl w:ilvl="3" w:tplc="53563931" w:tentative="1">
      <w:start w:val="1"/>
      <w:numFmt w:val="decimal"/>
      <w:lvlText w:val="%4."/>
      <w:lvlJc w:val="left"/>
      <w:pPr>
        <w:ind w:left="2880" w:hanging="360"/>
      </w:pPr>
    </w:lvl>
    <w:lvl w:ilvl="4" w:tplc="53563931" w:tentative="1">
      <w:start w:val="1"/>
      <w:numFmt w:val="lowerLetter"/>
      <w:lvlText w:val="%5."/>
      <w:lvlJc w:val="left"/>
      <w:pPr>
        <w:ind w:left="3600" w:hanging="360"/>
      </w:pPr>
    </w:lvl>
    <w:lvl w:ilvl="5" w:tplc="53563931" w:tentative="1">
      <w:start w:val="1"/>
      <w:numFmt w:val="lowerRoman"/>
      <w:lvlText w:val="%6."/>
      <w:lvlJc w:val="right"/>
      <w:pPr>
        <w:ind w:left="4320" w:hanging="180"/>
      </w:pPr>
    </w:lvl>
    <w:lvl w:ilvl="6" w:tplc="53563931" w:tentative="1">
      <w:start w:val="1"/>
      <w:numFmt w:val="decimal"/>
      <w:lvlText w:val="%7."/>
      <w:lvlJc w:val="left"/>
      <w:pPr>
        <w:ind w:left="5040" w:hanging="360"/>
      </w:pPr>
    </w:lvl>
    <w:lvl w:ilvl="7" w:tplc="53563931" w:tentative="1">
      <w:start w:val="1"/>
      <w:numFmt w:val="lowerLetter"/>
      <w:lvlText w:val="%8."/>
      <w:lvlJc w:val="left"/>
      <w:pPr>
        <w:ind w:left="5760" w:hanging="360"/>
      </w:pPr>
    </w:lvl>
    <w:lvl w:ilvl="8" w:tplc="53563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97">
    <w:multiLevelType w:val="hybridMultilevel"/>
    <w:lvl w:ilvl="0" w:tplc="95223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A331107"/>
    <w:multiLevelType w:val="multilevel"/>
    <w:tmpl w:val="C7D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6797">
    <w:abstractNumId w:val="26797"/>
  </w:num>
  <w:num w:numId="26798">
    <w:abstractNumId w:val="2679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4B"/>
    <w:rsid w:val="00480C0E"/>
    <w:rsid w:val="00545408"/>
    <w:rsid w:val="00B55C70"/>
    <w:rsid w:val="00E7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08"/>
  </w:style>
  <w:style w:type="paragraph" w:styleId="2">
    <w:name w:val="heading 2"/>
    <w:basedOn w:val="a"/>
    <w:link w:val="20"/>
    <w:uiPriority w:val="9"/>
    <w:qFormat/>
    <w:rsid w:val="00E747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74B"/>
    <w:rPr>
      <w:rFonts w:eastAsia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7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74B"/>
    <w:rPr>
      <w:b/>
      <w:bCs/>
    </w:rPr>
  </w:style>
  <w:style w:type="character" w:customStyle="1" w:styleId="apple-converted-space">
    <w:name w:val="apple-converted-space"/>
    <w:basedOn w:val="a0"/>
    <w:rsid w:val="00E7474B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08"/>
  </w:style>
  <w:style w:type="paragraph" w:styleId="2">
    <w:name w:val="heading 2"/>
    <w:basedOn w:val="a"/>
    <w:link w:val="20"/>
    <w:uiPriority w:val="9"/>
    <w:qFormat/>
    <w:rsid w:val="00E747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74B"/>
    <w:rPr>
      <w:rFonts w:eastAsia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7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74B"/>
    <w:rPr>
      <w:b/>
      <w:bCs/>
    </w:rPr>
  </w:style>
  <w:style w:type="character" w:customStyle="1" w:styleId="apple-converted-space">
    <w:name w:val="apple-converted-space"/>
    <w:basedOn w:val="a0"/>
    <w:rsid w:val="00E7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754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xn--273--84d1f.xn--p1ai/akty_pravitelstva_rf/postanovlenie-pravitelstva-rf-ot-05082013-no-661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prikaz-minobrazovaniya-rf-ot-6102009-no-37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273--84d1f.xn--p1ai/zakonodatelstvo/prikaz-minobrazovaniya-rf-ot-6102009-no-373" TargetMode="External"/><Relationship Id="rId7" Type="http://schemas.openxmlformats.org/officeDocument/2006/relationships/hyperlink" Target="http://xn--273--84d1f.xn--p1ai/akty_pravitelstva_rf/postanovlenie-pravitelstva-rf-ot-03062013-no-466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prikaz-minobrazovaniya-rf-ot-6102009-no-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273--84d1f.xn--p1ai/zakonodatelstvo/konstituciya-rossiyskoy-federacii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konstituciya-rossiyskoy-federacii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fontTable" Target="fontTable.xml"/><Relationship Id="rId577191037" Type="http://schemas.openxmlformats.org/officeDocument/2006/relationships/footnotes" Target="footnotes.xml"/><Relationship Id="rId389862377" Type="http://schemas.openxmlformats.org/officeDocument/2006/relationships/endnotes" Target="endnotes.xml"/><Relationship Id="rId257002923" Type="http://schemas.openxmlformats.org/officeDocument/2006/relationships/comments" Target="comments.xml"/><Relationship Id="rId811941523" Type="http://schemas.microsoft.com/office/2011/relationships/commentsExtended" Target="commentsExtended.xml"/><Relationship Id="rId15372637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p3fjRgPmtjVka7Z6dirEG0rCm2Y=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577191037"/>
            <mdssi:RelationshipReference SourceId="rId389862377"/>
            <mdssi:RelationshipReference SourceId="rId257002923"/>
            <mdssi:RelationshipReference SourceId="rId811941523"/>
            <mdssi:RelationshipReference SourceId="rId153726371"/>
          </Transform>
          <Transform Algorithm="http://www.w3.org/TR/2001/REC-xml-c14n-20010315"/>
        </Transforms>
        <DigestMethod Algorithm="http://www.w3.org/2000/09/xmldsig#sha1"/>
        <DigestValue>CSqzah1wOnTZ0fkXqPAC9RqWP/A=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zTSN+Log8B6rx7PVR1x/HlNOmJQ=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4xAzCSRHD0bawgeY9QBlgRH0DhA=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KzOCFLVN/OoVUw8r4Axj5kQXu3Q=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FzRUB4euooLBuaaIwVH3+DRd5kU=</DigestValue>
      </Reference>
      <Reference URI="/word/styles.xml?ContentType=application/vnd.openxmlformats-officedocument.wordprocessingml.styles+xml">
        <DigestMethod Algorithm="http://www.w3.org/2000/09/xmldsig#sha1"/>
        <DigestValue>Br3Cltc11xrDao04lXXw0ghY+PI=</DigestValue>
      </Reference>
      <Reference URI="/word/stylesWithEffects.xml?ContentType=application/vnd.ms-word.stylesWithEffects+xml">
        <DigestMethod Algorithm="http://www.w3.org/2000/09/xmldsig#sha1"/>
        <DigestValue>JLY1t05e4ZWo6JWc61ciOjZgcmw=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oe4Dc/Cb1AR/94PRIbAe6XM0BEU=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6754</Words>
  <Characters>38499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2017-12-08T09:20:00Z</dcterms:created>
  <dcterms:modified xsi:type="dcterms:W3CDTF">2017-12-08T09:20:00Z</dcterms:modified>
</cp:coreProperties>
</file>